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4462B86A" w:rsidR="00242633" w:rsidRPr="001023CF" w:rsidRDefault="00FC16E6" w:rsidP="0059280C">
            <w:pPr>
              <w:spacing w:after="240"/>
              <w:ind w:left="34"/>
              <w:jc w:val="right"/>
              <w:rPr>
                <w:rFonts w:ascii="Arial" w:hAnsi="Arial" w:cs="Arial"/>
                <w:szCs w:val="24"/>
              </w:rPr>
            </w:pPr>
            <w:r>
              <w:rPr>
                <w:rFonts w:ascii="Arial" w:hAnsi="Arial" w:cs="Arial"/>
                <w:szCs w:val="24"/>
              </w:rPr>
              <w:t>23</w:t>
            </w:r>
            <w:r w:rsidR="00345241">
              <w:rPr>
                <w:rFonts w:ascii="Arial" w:hAnsi="Arial" w:cs="Arial"/>
                <w:szCs w:val="24"/>
              </w:rPr>
              <w:t xml:space="preserve"> </w:t>
            </w:r>
            <w:r w:rsidR="00E36CB6">
              <w:rPr>
                <w:rFonts w:ascii="Arial" w:hAnsi="Arial" w:cs="Arial"/>
                <w:szCs w:val="24"/>
              </w:rPr>
              <w:t>September</w:t>
            </w:r>
            <w:r w:rsidR="00024498">
              <w:rPr>
                <w:rFonts w:ascii="Arial" w:hAnsi="Arial" w:cs="Arial"/>
                <w:szCs w:val="24"/>
              </w:rPr>
              <w:t xml:space="preserve"> 2022</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40A1B6B1" w14:textId="77777777" w:rsidR="00C13CC9" w:rsidRDefault="00493324" w:rsidP="001C2431">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r w:rsidR="001C2431">
              <w:rPr>
                <w:rFonts w:ascii="Arial" w:hAnsi="Arial" w:cs="Arial"/>
                <w:szCs w:val="24"/>
                <w:lang w:val="en-GB"/>
              </w:rPr>
              <w:t xml:space="preserve"> </w:t>
            </w:r>
            <w:r w:rsidR="001C2431" w:rsidRPr="009827B1">
              <w:rPr>
                <w:rFonts w:ascii="Arial" w:hAnsi="Arial" w:cs="Arial"/>
                <w:szCs w:val="24"/>
                <w:lang w:val="en-GB"/>
              </w:rPr>
              <w:t>The key points are:</w:t>
            </w:r>
          </w:p>
          <w:p w14:paraId="70B81B73" w14:textId="62318278" w:rsidR="001C2431" w:rsidRDefault="00EF0F08" w:rsidP="001C2431">
            <w:pPr>
              <w:pStyle w:val="BodyText"/>
              <w:numPr>
                <w:ilvl w:val="0"/>
                <w:numId w:val="16"/>
              </w:numPr>
              <w:spacing w:after="120"/>
              <w:jc w:val="left"/>
              <w:rPr>
                <w:rFonts w:ascii="Arial" w:hAnsi="Arial" w:cs="Arial"/>
                <w:szCs w:val="24"/>
                <w:lang w:val="en-GB"/>
              </w:rPr>
            </w:pPr>
            <w:r>
              <w:rPr>
                <w:rFonts w:ascii="Arial" w:hAnsi="Arial" w:cs="Arial"/>
                <w:szCs w:val="24"/>
                <w:lang w:val="en-GB"/>
              </w:rPr>
              <w:t xml:space="preserve">The Authority’s largest contract, which involves sending non-recyclable waste by train to an energy recovery centre, is operating well </w:t>
            </w:r>
            <w:r w:rsidR="00FC5059">
              <w:rPr>
                <w:rFonts w:ascii="Arial" w:hAnsi="Arial" w:cs="Arial"/>
                <w:szCs w:val="24"/>
                <w:lang w:val="en-GB"/>
              </w:rPr>
              <w:t>despite significant challenges over the summer</w:t>
            </w:r>
            <w:r>
              <w:rPr>
                <w:rFonts w:ascii="Arial" w:hAnsi="Arial" w:cs="Arial"/>
                <w:szCs w:val="24"/>
                <w:lang w:val="en-GB"/>
              </w:rPr>
              <w:t>.</w:t>
            </w:r>
            <w:r w:rsidR="00E36CB6">
              <w:rPr>
                <w:rFonts w:ascii="Arial" w:hAnsi="Arial" w:cs="Arial"/>
                <w:szCs w:val="24"/>
                <w:lang w:val="en-GB"/>
              </w:rPr>
              <w:t xml:space="preserve"> Disruption from rail strikes is set to continue.</w:t>
            </w:r>
          </w:p>
          <w:p w14:paraId="7BEB99D6" w14:textId="2F7D26F9" w:rsidR="009827B1" w:rsidRDefault="00E36CB6" w:rsidP="001C2431">
            <w:pPr>
              <w:pStyle w:val="BodyText"/>
              <w:numPr>
                <w:ilvl w:val="0"/>
                <w:numId w:val="16"/>
              </w:numPr>
              <w:spacing w:after="120"/>
              <w:jc w:val="left"/>
              <w:rPr>
                <w:rFonts w:ascii="Arial" w:hAnsi="Arial" w:cs="Arial"/>
                <w:szCs w:val="24"/>
                <w:lang w:val="en-GB"/>
              </w:rPr>
            </w:pPr>
            <w:r>
              <w:rPr>
                <w:rFonts w:ascii="Arial" w:hAnsi="Arial" w:cs="Arial"/>
                <w:szCs w:val="24"/>
                <w:lang w:val="en-GB"/>
              </w:rPr>
              <w:t>A new contract has been let to process the Authority’s r</w:t>
            </w:r>
            <w:r w:rsidR="00FC5059">
              <w:rPr>
                <w:rFonts w:ascii="Arial" w:hAnsi="Arial" w:cs="Arial"/>
                <w:szCs w:val="24"/>
                <w:lang w:val="en-GB"/>
              </w:rPr>
              <w:t>ubble</w:t>
            </w:r>
            <w:r>
              <w:rPr>
                <w:rFonts w:ascii="Arial" w:hAnsi="Arial" w:cs="Arial"/>
                <w:szCs w:val="24"/>
                <w:lang w:val="en-GB"/>
              </w:rPr>
              <w:t>, hardcore and soil. This will result in savings to the Authority.</w:t>
            </w:r>
          </w:p>
          <w:p w14:paraId="0E222265" w14:textId="301B4AF3" w:rsidR="009827B1" w:rsidRPr="00FC5059" w:rsidRDefault="00E36CB6" w:rsidP="00FC5059">
            <w:pPr>
              <w:pStyle w:val="BodyText"/>
              <w:numPr>
                <w:ilvl w:val="0"/>
                <w:numId w:val="16"/>
              </w:numPr>
              <w:spacing w:after="120"/>
              <w:jc w:val="left"/>
              <w:rPr>
                <w:rFonts w:ascii="Arial" w:hAnsi="Arial" w:cs="Arial"/>
                <w:szCs w:val="24"/>
                <w:lang w:val="en-GB"/>
              </w:rPr>
            </w:pPr>
            <w:r>
              <w:rPr>
                <w:rFonts w:ascii="Arial" w:hAnsi="Arial" w:cs="Arial"/>
                <w:szCs w:val="24"/>
                <w:lang w:val="en-GB"/>
              </w:rPr>
              <w:t>The Environment Agency is proposing that authorities collecting electricals and domestic seating must do so differently to safely manage the Persistent Organic Pollutants (</w:t>
            </w:r>
            <w:r w:rsidR="00FC5059">
              <w:rPr>
                <w:rFonts w:ascii="Arial" w:hAnsi="Arial" w:cs="Arial"/>
                <w:szCs w:val="24"/>
                <w:lang w:val="en-GB"/>
              </w:rPr>
              <w:t>POPS</w:t>
            </w:r>
            <w:r>
              <w:rPr>
                <w:rFonts w:ascii="Arial" w:hAnsi="Arial" w:cs="Arial"/>
                <w:szCs w:val="24"/>
                <w:lang w:val="en-GB"/>
              </w:rPr>
              <w:t>) that they contain. The Authority is lobbying for a pragmatic approach.</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w:t>
            </w:r>
            <w:proofErr w:type="gramStart"/>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w:t>
            </w:r>
            <w:proofErr w:type="gramEnd"/>
            <w:r w:rsidR="005456C1">
              <w:rPr>
                <w:rFonts w:ascii="Arial" w:hAnsi="Arial" w:cs="Arial"/>
                <w:iCs/>
                <w:szCs w:val="24"/>
              </w:rPr>
              <w:t xml:space="preserve"> Authority is asked to:</w:t>
            </w:r>
          </w:p>
          <w:p w14:paraId="176C7DA2" w14:textId="77777777"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60B9E64A"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44104396" w14:textId="5FC2C68A" w:rsidR="00DA7E7D" w:rsidRDefault="00BC6976"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This contract is with West London Energy Recovery Limited</w:t>
      </w:r>
      <w:r w:rsidR="00DA7E7D">
        <w:rPr>
          <w:rFonts w:ascii="Arial" w:hAnsi="Arial" w:cs="Arial"/>
          <w:szCs w:val="24"/>
          <w:lang w:eastAsia="en-GB"/>
        </w:rPr>
        <w:t xml:space="preserve"> (WLERL)</w:t>
      </w:r>
      <w:r>
        <w:rPr>
          <w:rFonts w:ascii="Arial" w:hAnsi="Arial" w:cs="Arial"/>
          <w:szCs w:val="24"/>
          <w:lang w:eastAsia="en-GB"/>
        </w:rPr>
        <w:t xml:space="preserve"> and is operated by Suez. </w:t>
      </w:r>
      <w:r w:rsidR="00DA7E7D">
        <w:rPr>
          <w:rFonts w:ascii="Arial" w:hAnsi="Arial" w:cs="Arial"/>
          <w:szCs w:val="24"/>
          <w:lang w:eastAsia="en-GB"/>
        </w:rPr>
        <w:t>It involves the acceptance of waste from Borough</w:t>
      </w:r>
      <w:r w:rsidR="00B34AC0">
        <w:rPr>
          <w:rFonts w:ascii="Arial" w:hAnsi="Arial" w:cs="Arial"/>
          <w:szCs w:val="24"/>
          <w:lang w:eastAsia="en-GB"/>
        </w:rPr>
        <w:t xml:space="preserve">s </w:t>
      </w:r>
      <w:r w:rsidR="00DA7E7D">
        <w:rPr>
          <w:rFonts w:ascii="Arial" w:hAnsi="Arial" w:cs="Arial"/>
          <w:szCs w:val="24"/>
          <w:lang w:eastAsia="en-GB"/>
        </w:rPr>
        <w:t xml:space="preserve">at west London transfer stations, from where most of the waste is compacted into containers and transferred by rail to </w:t>
      </w:r>
      <w:proofErr w:type="spellStart"/>
      <w:r w:rsidR="00DA7E7D">
        <w:rPr>
          <w:rFonts w:ascii="Arial" w:hAnsi="Arial" w:cs="Arial"/>
          <w:szCs w:val="24"/>
          <w:lang w:eastAsia="en-GB"/>
        </w:rPr>
        <w:t>Severnside</w:t>
      </w:r>
      <w:proofErr w:type="spellEnd"/>
      <w:r w:rsidR="00DA7E7D">
        <w:rPr>
          <w:rFonts w:ascii="Arial" w:hAnsi="Arial" w:cs="Arial"/>
          <w:szCs w:val="24"/>
          <w:lang w:eastAsia="en-GB"/>
        </w:rPr>
        <w:t xml:space="preserve"> Energy Recovery Centre (SERC) for thermal treatment and energy recovery.</w:t>
      </w:r>
      <w:r w:rsidR="00F24293">
        <w:rPr>
          <w:rFonts w:ascii="Arial" w:hAnsi="Arial" w:cs="Arial"/>
          <w:szCs w:val="24"/>
          <w:lang w:eastAsia="en-GB"/>
        </w:rPr>
        <w:t xml:space="preserve"> It is the Authority’s largest contract, handling over 3</w:t>
      </w:r>
      <w:r w:rsidR="00C4692C">
        <w:rPr>
          <w:rFonts w:ascii="Arial" w:hAnsi="Arial" w:cs="Arial"/>
          <w:szCs w:val="24"/>
          <w:lang w:eastAsia="en-GB"/>
        </w:rPr>
        <w:t>0</w:t>
      </w:r>
      <w:r w:rsidR="00F24293">
        <w:rPr>
          <w:rFonts w:ascii="Arial" w:hAnsi="Arial" w:cs="Arial"/>
          <w:szCs w:val="24"/>
          <w:lang w:eastAsia="en-GB"/>
        </w:rPr>
        <w:t xml:space="preserve">0,000 tonnes of residual waste each year, with a </w:t>
      </w:r>
      <w:r w:rsidR="00B34AC0">
        <w:rPr>
          <w:rFonts w:ascii="Arial" w:hAnsi="Arial" w:cs="Arial"/>
          <w:szCs w:val="24"/>
          <w:lang w:eastAsia="en-GB"/>
        </w:rPr>
        <w:t>value</w:t>
      </w:r>
      <w:r w:rsidR="00F24293">
        <w:rPr>
          <w:rFonts w:ascii="Arial" w:hAnsi="Arial" w:cs="Arial"/>
          <w:szCs w:val="24"/>
          <w:lang w:eastAsia="en-GB"/>
        </w:rPr>
        <w:t xml:space="preserve"> of around £35 million per year.</w:t>
      </w:r>
    </w:p>
    <w:p w14:paraId="00DB82D1" w14:textId="3707B41D" w:rsidR="008C3224" w:rsidRDefault="00F2429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FC5059">
        <w:rPr>
          <w:rFonts w:ascii="Arial" w:hAnsi="Arial" w:cs="Arial"/>
          <w:szCs w:val="24"/>
          <w:lang w:eastAsia="en-GB"/>
        </w:rPr>
        <w:t xml:space="preserve">continues to </w:t>
      </w:r>
      <w:r>
        <w:rPr>
          <w:rFonts w:ascii="Arial" w:hAnsi="Arial" w:cs="Arial"/>
          <w:szCs w:val="24"/>
          <w:lang w:eastAsia="en-GB"/>
        </w:rPr>
        <w:t xml:space="preserve">perform very well against its Key Performance Indicators (KPIs) for the </w:t>
      </w:r>
      <w:r w:rsidR="004D1AB8">
        <w:rPr>
          <w:rFonts w:ascii="Arial" w:hAnsi="Arial" w:cs="Arial"/>
          <w:szCs w:val="24"/>
          <w:lang w:eastAsia="en-GB"/>
        </w:rPr>
        <w:t xml:space="preserve">current </w:t>
      </w:r>
      <w:r>
        <w:rPr>
          <w:rFonts w:ascii="Arial" w:hAnsi="Arial" w:cs="Arial"/>
          <w:szCs w:val="24"/>
          <w:lang w:eastAsia="en-GB"/>
        </w:rPr>
        <w:t>year</w:t>
      </w:r>
      <w:r w:rsidR="001D6226">
        <w:rPr>
          <w:rFonts w:ascii="Arial" w:hAnsi="Arial" w:cs="Arial"/>
          <w:szCs w:val="24"/>
          <w:lang w:eastAsia="en-GB"/>
        </w:rPr>
        <w:t>-to-date</w:t>
      </w:r>
      <w:r>
        <w:rPr>
          <w:rFonts w:ascii="Arial" w:hAnsi="Arial" w:cs="Arial"/>
          <w:szCs w:val="24"/>
          <w:lang w:eastAsia="en-GB"/>
        </w:rPr>
        <w:t xml:space="preserve">, where </w:t>
      </w:r>
      <w:r w:rsidR="006D777B">
        <w:rPr>
          <w:rFonts w:ascii="Arial" w:hAnsi="Arial" w:cs="Arial"/>
          <w:szCs w:val="24"/>
          <w:lang w:eastAsia="en-GB"/>
        </w:rPr>
        <w:t xml:space="preserve">a landfill diversion rate of 99.9% (target 96.1%) was achieved </w:t>
      </w:r>
      <w:r w:rsidR="008C3224">
        <w:rPr>
          <w:rFonts w:ascii="Arial" w:hAnsi="Arial" w:cs="Arial"/>
          <w:szCs w:val="24"/>
          <w:lang w:eastAsia="en-GB"/>
        </w:rPr>
        <w:t>along with</w:t>
      </w:r>
      <w:r w:rsidR="006D777B">
        <w:rPr>
          <w:rFonts w:ascii="Arial" w:hAnsi="Arial" w:cs="Arial"/>
          <w:szCs w:val="24"/>
          <w:lang w:eastAsia="en-GB"/>
        </w:rPr>
        <w:t xml:space="preserve"> a recycling rate of </w:t>
      </w:r>
      <w:r w:rsidR="008C3224">
        <w:rPr>
          <w:rFonts w:ascii="Arial" w:hAnsi="Arial" w:cs="Arial"/>
          <w:szCs w:val="24"/>
          <w:lang w:eastAsia="en-GB"/>
        </w:rPr>
        <w:t>5.</w:t>
      </w:r>
      <w:r w:rsidR="004D1AB8">
        <w:rPr>
          <w:rFonts w:ascii="Arial" w:hAnsi="Arial" w:cs="Arial"/>
          <w:szCs w:val="24"/>
          <w:lang w:eastAsia="en-GB"/>
        </w:rPr>
        <w:t>0</w:t>
      </w:r>
      <w:r w:rsidR="008C3224">
        <w:rPr>
          <w:rFonts w:ascii="Arial" w:hAnsi="Arial" w:cs="Arial"/>
          <w:szCs w:val="24"/>
          <w:lang w:eastAsia="en-GB"/>
        </w:rPr>
        <w:t xml:space="preserve">% (target 2.1%). </w:t>
      </w:r>
    </w:p>
    <w:p w14:paraId="7652453B" w14:textId="77777777" w:rsidR="001D0D12" w:rsidRDefault="00005299"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This summer, several</w:t>
      </w:r>
      <w:r w:rsidR="004D1AB8">
        <w:rPr>
          <w:rFonts w:ascii="Arial" w:hAnsi="Arial" w:cs="Arial"/>
          <w:szCs w:val="24"/>
          <w:lang w:eastAsia="en-GB"/>
        </w:rPr>
        <w:t xml:space="preserve"> major challenges were managed by the Contractor</w:t>
      </w:r>
      <w:r>
        <w:rPr>
          <w:rFonts w:ascii="Arial" w:hAnsi="Arial" w:cs="Arial"/>
          <w:szCs w:val="24"/>
          <w:lang w:eastAsia="en-GB"/>
        </w:rPr>
        <w:t xml:space="preserve">. </w:t>
      </w:r>
      <w:r w:rsidR="00392179">
        <w:rPr>
          <w:rFonts w:ascii="Arial" w:hAnsi="Arial" w:cs="Arial"/>
          <w:szCs w:val="24"/>
          <w:lang w:eastAsia="en-GB"/>
        </w:rPr>
        <w:t>Firstly,</w:t>
      </w:r>
      <w:r>
        <w:rPr>
          <w:rFonts w:ascii="Arial" w:hAnsi="Arial" w:cs="Arial"/>
          <w:szCs w:val="24"/>
          <w:lang w:eastAsia="en-GB"/>
        </w:rPr>
        <w:t xml:space="preserve"> </w:t>
      </w:r>
      <w:r w:rsidR="00392179">
        <w:rPr>
          <w:rFonts w:ascii="Arial" w:hAnsi="Arial" w:cs="Arial"/>
          <w:szCs w:val="24"/>
          <w:lang w:eastAsia="en-GB"/>
        </w:rPr>
        <w:t>major</w:t>
      </w:r>
      <w:r>
        <w:rPr>
          <w:rFonts w:ascii="Arial" w:hAnsi="Arial" w:cs="Arial"/>
          <w:szCs w:val="24"/>
          <w:lang w:eastAsia="en-GB"/>
        </w:rPr>
        <w:t xml:space="preserve"> rail strikes </w:t>
      </w:r>
      <w:r w:rsidR="00392179">
        <w:rPr>
          <w:rFonts w:ascii="Arial" w:hAnsi="Arial" w:cs="Arial"/>
          <w:szCs w:val="24"/>
          <w:lang w:eastAsia="en-GB"/>
        </w:rPr>
        <w:t xml:space="preserve">in mid-June </w:t>
      </w:r>
      <w:r>
        <w:rPr>
          <w:rFonts w:ascii="Arial" w:hAnsi="Arial" w:cs="Arial"/>
          <w:szCs w:val="24"/>
          <w:lang w:eastAsia="en-GB"/>
        </w:rPr>
        <w:t xml:space="preserve">meant that less waste could be transported by rail, leading to </w:t>
      </w:r>
      <w:r w:rsidR="00392179">
        <w:rPr>
          <w:rFonts w:ascii="Arial" w:hAnsi="Arial" w:cs="Arial"/>
          <w:szCs w:val="24"/>
          <w:lang w:eastAsia="en-GB"/>
        </w:rPr>
        <w:t>higher-than-normal</w:t>
      </w:r>
      <w:r>
        <w:rPr>
          <w:rFonts w:ascii="Arial" w:hAnsi="Arial" w:cs="Arial"/>
          <w:szCs w:val="24"/>
          <w:lang w:eastAsia="en-GB"/>
        </w:rPr>
        <w:t xml:space="preserve"> waste stocks at the two transfer stations. </w:t>
      </w:r>
      <w:r w:rsidR="00392179">
        <w:rPr>
          <w:rFonts w:ascii="Arial" w:hAnsi="Arial" w:cs="Arial"/>
          <w:szCs w:val="24"/>
          <w:lang w:eastAsia="en-GB"/>
        </w:rPr>
        <w:t xml:space="preserve">Then SERC went offline </w:t>
      </w:r>
      <w:r w:rsidR="007B6E10">
        <w:rPr>
          <w:rFonts w:ascii="Arial" w:hAnsi="Arial" w:cs="Arial"/>
          <w:szCs w:val="24"/>
          <w:lang w:eastAsia="en-GB"/>
        </w:rPr>
        <w:t>over</w:t>
      </w:r>
      <w:r w:rsidR="00392179">
        <w:rPr>
          <w:rFonts w:ascii="Arial" w:hAnsi="Arial" w:cs="Arial"/>
          <w:szCs w:val="24"/>
          <w:lang w:eastAsia="en-GB"/>
        </w:rPr>
        <w:t xml:space="preserve"> three weeks for planned maintenance work meaning that</w:t>
      </w:r>
      <w:r w:rsidR="007B6E10">
        <w:rPr>
          <w:rFonts w:ascii="Arial" w:hAnsi="Arial" w:cs="Arial"/>
          <w:szCs w:val="24"/>
          <w:lang w:eastAsia="en-GB"/>
        </w:rPr>
        <w:t xml:space="preserve"> more waste needed to be transported by road to alternative sites. The Contractor managed this period of operational stress very well and there were only minor delays to Borough collection vehicles and collections from Borough waste sites. </w:t>
      </w:r>
    </w:p>
    <w:p w14:paraId="28BD24F5" w14:textId="2F8DBBA1" w:rsidR="004D1AB8" w:rsidRDefault="001D0D12"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SERC maintenance work was delivered successfully, and the facility was found to be in very good condition. </w:t>
      </w:r>
      <w:r w:rsidR="00392179">
        <w:rPr>
          <w:rFonts w:ascii="Arial" w:hAnsi="Arial" w:cs="Arial"/>
          <w:szCs w:val="24"/>
          <w:lang w:eastAsia="en-GB"/>
        </w:rPr>
        <w:t xml:space="preserve"> </w:t>
      </w:r>
      <w:r w:rsidR="004D1AB8">
        <w:rPr>
          <w:rFonts w:ascii="Arial" w:hAnsi="Arial" w:cs="Arial"/>
          <w:szCs w:val="24"/>
          <w:lang w:eastAsia="en-GB"/>
        </w:rPr>
        <w:t xml:space="preserve"> </w:t>
      </w:r>
    </w:p>
    <w:p w14:paraId="600054DC" w14:textId="276C9A21" w:rsidR="001D0D12" w:rsidRDefault="007B6E10"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Further rail strikes took place</w:t>
      </w:r>
      <w:r w:rsidR="001D0D12">
        <w:rPr>
          <w:rFonts w:ascii="Arial" w:hAnsi="Arial" w:cs="Arial"/>
          <w:szCs w:val="24"/>
          <w:lang w:eastAsia="en-GB"/>
        </w:rPr>
        <w:t xml:space="preserve"> in July and August, and again the Contractor planned for these and managed the impacts well, using increased road haulage and alternative energy recovery sites.</w:t>
      </w:r>
      <w:r w:rsidR="00473B39">
        <w:rPr>
          <w:rFonts w:ascii="Arial" w:hAnsi="Arial" w:cs="Arial"/>
          <w:szCs w:val="24"/>
          <w:lang w:eastAsia="en-GB"/>
        </w:rPr>
        <w:t xml:space="preserve"> Despite the challenges, no waste was sent to landfill during this period. </w:t>
      </w:r>
      <w:r w:rsidR="00BC15F0">
        <w:rPr>
          <w:rFonts w:ascii="Arial" w:hAnsi="Arial" w:cs="Arial"/>
          <w:szCs w:val="24"/>
          <w:lang w:eastAsia="en-GB"/>
        </w:rPr>
        <w:t xml:space="preserve">The series of rail strikes </w:t>
      </w:r>
      <w:r w:rsidR="00BC15F0">
        <w:rPr>
          <w:rFonts w:ascii="Arial" w:hAnsi="Arial" w:cs="Arial"/>
          <w:szCs w:val="24"/>
          <w:lang w:eastAsia="en-GB"/>
        </w:rPr>
        <w:lastRenderedPageBreak/>
        <w:t>will continue</w:t>
      </w:r>
      <w:r w:rsidR="00A63A14">
        <w:rPr>
          <w:rFonts w:ascii="Arial" w:hAnsi="Arial" w:cs="Arial"/>
          <w:szCs w:val="24"/>
          <w:lang w:eastAsia="en-GB"/>
        </w:rPr>
        <w:t>,</w:t>
      </w:r>
      <w:r w:rsidR="00BC15F0">
        <w:rPr>
          <w:rFonts w:ascii="Arial" w:hAnsi="Arial" w:cs="Arial"/>
          <w:szCs w:val="24"/>
          <w:lang w:eastAsia="en-GB"/>
        </w:rPr>
        <w:t xml:space="preserve"> </w:t>
      </w:r>
      <w:r w:rsidR="00A63A14">
        <w:rPr>
          <w:rFonts w:ascii="Arial" w:hAnsi="Arial" w:cs="Arial"/>
          <w:szCs w:val="24"/>
          <w:lang w:eastAsia="en-GB"/>
        </w:rPr>
        <w:t>however the strikes planned for</w:t>
      </w:r>
      <w:r w:rsidR="00BC15F0">
        <w:rPr>
          <w:rFonts w:ascii="Arial" w:hAnsi="Arial" w:cs="Arial"/>
          <w:szCs w:val="24"/>
          <w:lang w:eastAsia="en-GB"/>
        </w:rPr>
        <w:t xml:space="preserve"> 15</w:t>
      </w:r>
      <w:r w:rsidR="00A63A14">
        <w:rPr>
          <w:rFonts w:ascii="Arial" w:hAnsi="Arial" w:cs="Arial"/>
          <w:szCs w:val="24"/>
          <w:lang w:eastAsia="en-GB"/>
        </w:rPr>
        <w:t xml:space="preserve"> and</w:t>
      </w:r>
      <w:r w:rsidR="00BC15F0">
        <w:rPr>
          <w:rFonts w:ascii="Arial" w:hAnsi="Arial" w:cs="Arial"/>
          <w:szCs w:val="24"/>
          <w:lang w:eastAsia="en-GB"/>
        </w:rPr>
        <w:t xml:space="preserve"> 17</w:t>
      </w:r>
      <w:r w:rsidR="00A63A14">
        <w:rPr>
          <w:rFonts w:ascii="Arial" w:hAnsi="Arial" w:cs="Arial"/>
          <w:szCs w:val="24"/>
          <w:lang w:eastAsia="en-GB"/>
        </w:rPr>
        <w:t xml:space="preserve"> Septem</w:t>
      </w:r>
      <w:r w:rsidR="00BC15F0">
        <w:rPr>
          <w:rFonts w:ascii="Arial" w:hAnsi="Arial" w:cs="Arial"/>
          <w:szCs w:val="24"/>
          <w:lang w:eastAsia="en-GB"/>
        </w:rPr>
        <w:t>ber</w:t>
      </w:r>
      <w:r w:rsidR="006E0698">
        <w:rPr>
          <w:rFonts w:ascii="Arial" w:hAnsi="Arial" w:cs="Arial"/>
          <w:szCs w:val="24"/>
          <w:lang w:eastAsia="en-GB"/>
        </w:rPr>
        <w:t xml:space="preserve"> have been postponed as</w:t>
      </w:r>
      <w:r w:rsidR="00A63A14">
        <w:rPr>
          <w:rFonts w:ascii="Arial" w:hAnsi="Arial" w:cs="Arial"/>
          <w:szCs w:val="24"/>
          <w:lang w:eastAsia="en-GB"/>
        </w:rPr>
        <w:t xml:space="preserve"> a mark to respect to the Queen</w:t>
      </w:r>
      <w:r w:rsidR="00BC15F0">
        <w:rPr>
          <w:rFonts w:ascii="Arial" w:hAnsi="Arial" w:cs="Arial"/>
          <w:szCs w:val="24"/>
          <w:lang w:eastAsia="en-GB"/>
        </w:rPr>
        <w:t xml:space="preserve">. </w:t>
      </w:r>
    </w:p>
    <w:p w14:paraId="5316EA7A" w14:textId="395304FE" w:rsidR="004D1AB8" w:rsidRDefault="001C79C2"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On 1 August, Suez’s waste transfer stations in Hayes, suffered a major fire.</w:t>
      </w:r>
      <w:r w:rsidR="004D67E7">
        <w:rPr>
          <w:rFonts w:ascii="Arial" w:hAnsi="Arial" w:cs="Arial"/>
          <w:szCs w:val="24"/>
          <w:lang w:eastAsia="en-GB"/>
        </w:rPr>
        <w:t xml:space="preserve"> </w:t>
      </w:r>
      <w:r w:rsidRPr="001C79C2">
        <w:rPr>
          <w:rFonts w:ascii="Arial" w:hAnsi="Arial" w:cs="Arial"/>
          <w:szCs w:val="24"/>
          <w:lang w:eastAsia="en-GB"/>
        </w:rPr>
        <w:t>WLWA uses the site for tipping some bulky waste collected from Borough HRRCs/transfer stations and occasionally for contingency if there are problems at the large transfer stations.</w:t>
      </w:r>
      <w:r>
        <w:rPr>
          <w:rFonts w:ascii="Arial" w:hAnsi="Arial" w:cs="Arial"/>
          <w:szCs w:val="24"/>
          <w:lang w:eastAsia="en-GB"/>
        </w:rPr>
        <w:t xml:space="preserve"> </w:t>
      </w:r>
      <w:r w:rsidR="00473B39">
        <w:rPr>
          <w:rFonts w:ascii="Arial" w:hAnsi="Arial" w:cs="Arial"/>
          <w:szCs w:val="24"/>
          <w:lang w:eastAsia="en-GB"/>
        </w:rPr>
        <w:t>N</w:t>
      </w:r>
      <w:r>
        <w:rPr>
          <w:rFonts w:ascii="Arial" w:hAnsi="Arial" w:cs="Arial"/>
          <w:szCs w:val="24"/>
          <w:lang w:eastAsia="en-GB"/>
        </w:rPr>
        <w:t xml:space="preserve">obody was </w:t>
      </w:r>
      <w:r w:rsidR="00473B39">
        <w:rPr>
          <w:rFonts w:ascii="Arial" w:hAnsi="Arial" w:cs="Arial"/>
          <w:szCs w:val="24"/>
          <w:lang w:eastAsia="en-GB"/>
        </w:rPr>
        <w:t>injured,</w:t>
      </w:r>
      <w:r>
        <w:rPr>
          <w:rFonts w:ascii="Arial" w:hAnsi="Arial" w:cs="Arial"/>
          <w:szCs w:val="24"/>
          <w:lang w:eastAsia="en-GB"/>
        </w:rPr>
        <w:t xml:space="preserve"> and the fire was extinguished, but significant damage was caused to the shed and </w:t>
      </w:r>
      <w:r w:rsidR="00337C85">
        <w:rPr>
          <w:rFonts w:ascii="Arial" w:hAnsi="Arial" w:cs="Arial"/>
          <w:szCs w:val="24"/>
          <w:lang w:eastAsia="en-GB"/>
        </w:rPr>
        <w:t xml:space="preserve">waste processing </w:t>
      </w:r>
      <w:r>
        <w:rPr>
          <w:rFonts w:ascii="Arial" w:hAnsi="Arial" w:cs="Arial"/>
          <w:szCs w:val="24"/>
          <w:lang w:eastAsia="en-GB"/>
        </w:rPr>
        <w:t xml:space="preserve">equipment </w:t>
      </w:r>
      <w:r w:rsidR="00337C85">
        <w:rPr>
          <w:rFonts w:ascii="Arial" w:hAnsi="Arial" w:cs="Arial"/>
          <w:szCs w:val="24"/>
          <w:lang w:eastAsia="en-GB"/>
        </w:rPr>
        <w:t>within. Part of the site has been confirmed safe and is accepting small quantities of waste, but the other part is still closed and being assessed. Whilst the initial cause of the fire was thought to be a battery going through a shredder, the conclusion was that fireworks went through the shredder and were ignited. WLWA and the Boroughs acted on the initial findings and put out communications</w:t>
      </w:r>
      <w:r w:rsidR="00357C29">
        <w:rPr>
          <w:rFonts w:ascii="Arial" w:hAnsi="Arial" w:cs="Arial"/>
          <w:szCs w:val="24"/>
          <w:lang w:eastAsia="en-GB"/>
        </w:rPr>
        <w:t xml:space="preserve"> about keeping batteries and barbeques out of the waste stream, which are important messages despite not being the cause this time. WLWA is exploring options with Borough colleagues for preventing unwanted materials from entering the waste at Borough sites. </w:t>
      </w:r>
      <w:r w:rsidR="00337C85">
        <w:rPr>
          <w:rFonts w:ascii="Arial" w:hAnsi="Arial" w:cs="Arial"/>
          <w:szCs w:val="24"/>
          <w:lang w:eastAsia="en-GB"/>
        </w:rPr>
        <w:t xml:space="preserve"> </w:t>
      </w:r>
      <w:r>
        <w:rPr>
          <w:rFonts w:ascii="Arial" w:hAnsi="Arial" w:cs="Arial"/>
          <w:szCs w:val="24"/>
          <w:lang w:eastAsia="en-GB"/>
        </w:rPr>
        <w:t xml:space="preserve"> </w:t>
      </w:r>
      <w:r w:rsidR="001D0D12">
        <w:rPr>
          <w:rFonts w:ascii="Arial" w:hAnsi="Arial" w:cs="Arial"/>
          <w:szCs w:val="24"/>
          <w:lang w:eastAsia="en-GB"/>
        </w:rPr>
        <w:t xml:space="preserve"> </w:t>
      </w:r>
    </w:p>
    <w:p w14:paraId="7EAF488F" w14:textId="5AF416E7" w:rsidR="007B6E10" w:rsidRDefault="00357C29"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March edition of this report explained that </w:t>
      </w:r>
      <w:r w:rsidR="00020BB6">
        <w:rPr>
          <w:rFonts w:ascii="Arial" w:hAnsi="Arial" w:cs="Arial"/>
          <w:szCs w:val="24"/>
          <w:lang w:eastAsia="en-GB"/>
        </w:rPr>
        <w:t xml:space="preserve">users of </w:t>
      </w:r>
      <w:r>
        <w:rPr>
          <w:rFonts w:ascii="Arial" w:hAnsi="Arial" w:cs="Arial"/>
          <w:szCs w:val="24"/>
          <w:lang w:eastAsia="en-GB"/>
        </w:rPr>
        <w:t xml:space="preserve">the Victoria Road transfer station in Ruislip had been experiencing </w:t>
      </w:r>
      <w:r w:rsidR="00473B39">
        <w:rPr>
          <w:rFonts w:ascii="Arial" w:hAnsi="Arial" w:cs="Arial"/>
          <w:szCs w:val="24"/>
          <w:lang w:eastAsia="en-GB"/>
        </w:rPr>
        <w:t xml:space="preserve">minor </w:t>
      </w:r>
      <w:r w:rsidR="00020BB6">
        <w:rPr>
          <w:rFonts w:ascii="Arial" w:hAnsi="Arial" w:cs="Arial"/>
          <w:szCs w:val="24"/>
          <w:lang w:eastAsia="en-GB"/>
        </w:rPr>
        <w:t xml:space="preserve">delays due to mechanical problems with the cranes in the waste bunkers. An immediate-term fix has since been implemented, increasing the reliability of the cranes. There will be a further short-term fix completed by the end of the calendar year and then the cranes will be replaced completely during summer and autumn next year. This will result in temporary changes to </w:t>
      </w:r>
      <w:r w:rsidR="00653803">
        <w:rPr>
          <w:rFonts w:ascii="Arial" w:hAnsi="Arial" w:cs="Arial"/>
          <w:szCs w:val="24"/>
          <w:lang w:eastAsia="en-GB"/>
        </w:rPr>
        <w:t>some Boroughs’ tipping arrangements, which will be agreed with Borough colleagues.</w:t>
      </w:r>
    </w:p>
    <w:p w14:paraId="2B04B274" w14:textId="2DEAEA63" w:rsidR="00357C29" w:rsidRDefault="00653803"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Upgrades to the fire suppression systems at the transfer stations have progressed well and are almost complete at Transport Avenue. Victoria Road will receive the upgrade next, and this is expected to be completed </w:t>
      </w:r>
      <w:r w:rsidR="00473B39">
        <w:rPr>
          <w:rFonts w:ascii="Arial" w:hAnsi="Arial" w:cs="Arial"/>
          <w:szCs w:val="24"/>
          <w:lang w:eastAsia="en-GB"/>
        </w:rPr>
        <w:t>in January.</w:t>
      </w:r>
    </w:p>
    <w:p w14:paraId="29C6D9E2" w14:textId="77777777"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1292F791" w14:textId="1013DD7B" w:rsidR="004F601C" w:rsidRDefault="00C4692C" w:rsidP="007A135E">
      <w:pPr>
        <w:autoSpaceDE w:val="0"/>
        <w:autoSpaceDN w:val="0"/>
        <w:adjustRightInd w:val="0"/>
        <w:spacing w:after="120"/>
        <w:ind w:left="170"/>
        <w:rPr>
          <w:rFonts w:ascii="Arial" w:hAnsi="Arial" w:cs="Arial"/>
          <w:lang w:eastAsia="en-GB"/>
        </w:rPr>
      </w:pPr>
      <w:bookmarkStart w:id="0" w:name="_Hlk97563480"/>
      <w:r>
        <w:rPr>
          <w:rFonts w:ascii="Arial" w:hAnsi="Arial" w:cs="Arial"/>
          <w:lang w:eastAsia="en-GB"/>
        </w:rPr>
        <w:t xml:space="preserve">This contract is for 90,000 tonnes a year of residual waste which is thermally treated at Lakeside energy recovery centre near Slough.  </w:t>
      </w:r>
    </w:p>
    <w:p w14:paraId="69A94DC0" w14:textId="733788B8" w:rsidR="001F24E2" w:rsidRDefault="004E137D" w:rsidP="007A135E">
      <w:pPr>
        <w:autoSpaceDE w:val="0"/>
        <w:autoSpaceDN w:val="0"/>
        <w:adjustRightInd w:val="0"/>
        <w:spacing w:after="120"/>
        <w:ind w:left="170"/>
        <w:rPr>
          <w:rFonts w:ascii="Arial" w:hAnsi="Arial" w:cs="Arial"/>
          <w:lang w:eastAsia="en-GB"/>
        </w:rPr>
      </w:pPr>
      <w:r w:rsidRPr="004E137D">
        <w:rPr>
          <w:rFonts w:ascii="Arial" w:hAnsi="Arial" w:cs="Arial"/>
          <w:lang w:eastAsia="en-GB"/>
        </w:rPr>
        <w:t xml:space="preserve">The contract is operating </w:t>
      </w:r>
      <w:bookmarkEnd w:id="0"/>
      <w:r w:rsidR="00CA26A5" w:rsidRPr="004E137D">
        <w:rPr>
          <w:rFonts w:ascii="Arial" w:hAnsi="Arial" w:cs="Arial"/>
          <w:lang w:eastAsia="en-GB"/>
        </w:rPr>
        <w:t>well</w:t>
      </w:r>
      <w:r w:rsidR="00CA26A5">
        <w:rPr>
          <w:rFonts w:ascii="Arial" w:hAnsi="Arial" w:cs="Arial"/>
          <w:lang w:eastAsia="en-GB"/>
        </w:rPr>
        <w:t xml:space="preserve"> and received additional waste during the rail strikes and SERC outage</w:t>
      </w:r>
      <w:r w:rsidR="0040738C">
        <w:rPr>
          <w:rFonts w:ascii="Arial" w:hAnsi="Arial" w:cs="Arial"/>
          <w:lang w:eastAsia="en-GB"/>
        </w:rPr>
        <w:t>.</w:t>
      </w:r>
      <w:r w:rsidR="00CA26A5">
        <w:rPr>
          <w:rFonts w:ascii="Arial" w:hAnsi="Arial" w:cs="Arial"/>
          <w:lang w:eastAsia="en-GB"/>
        </w:rPr>
        <w:t xml:space="preserve"> Deliveries to Lakeside will be reprofiled for the remainder of the year to ensure that the </w:t>
      </w:r>
      <w:r w:rsidR="002B358E">
        <w:rPr>
          <w:rFonts w:ascii="Arial" w:hAnsi="Arial" w:cs="Arial"/>
          <w:lang w:eastAsia="en-GB"/>
        </w:rPr>
        <w:t>90,000-tonne</w:t>
      </w:r>
      <w:r w:rsidR="00CA26A5">
        <w:rPr>
          <w:rFonts w:ascii="Arial" w:hAnsi="Arial" w:cs="Arial"/>
          <w:lang w:eastAsia="en-GB"/>
        </w:rPr>
        <w:t xml:space="preserve"> limit is </w:t>
      </w:r>
      <w:r w:rsidR="00575E15">
        <w:rPr>
          <w:rFonts w:ascii="Arial" w:hAnsi="Arial" w:cs="Arial"/>
          <w:lang w:eastAsia="en-GB"/>
        </w:rPr>
        <w:t>met</w:t>
      </w:r>
      <w:r w:rsidR="00CA26A5">
        <w:rPr>
          <w:rFonts w:ascii="Arial" w:hAnsi="Arial" w:cs="Arial"/>
          <w:lang w:eastAsia="en-GB"/>
        </w:rPr>
        <w:t>.</w:t>
      </w:r>
      <w:r w:rsidR="007A135E">
        <w:rPr>
          <w:rFonts w:ascii="Arial" w:hAnsi="Arial" w:cs="Arial"/>
          <w:lang w:eastAsia="en-GB"/>
        </w:rPr>
        <w:t xml:space="preserve"> </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1E36092B" w14:textId="354B2123" w:rsidR="004F601C" w:rsidRDefault="00BA5679" w:rsidP="00CA26A5">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1A4EB3">
        <w:rPr>
          <w:rFonts w:ascii="Arial" w:hAnsi="Arial" w:cs="Arial"/>
          <w:szCs w:val="24"/>
          <w:lang w:eastAsia="en-GB"/>
        </w:rPr>
        <w:t xml:space="preserve">food waste contract with Biocollectors </w:t>
      </w:r>
      <w:r w:rsidR="004120DA">
        <w:rPr>
          <w:rFonts w:ascii="Arial" w:hAnsi="Arial" w:cs="Arial"/>
          <w:szCs w:val="24"/>
          <w:lang w:eastAsia="en-GB"/>
        </w:rPr>
        <w:t>continues to operate well.</w:t>
      </w:r>
      <w:r w:rsidR="008B7951">
        <w:rPr>
          <w:rFonts w:ascii="Arial" w:hAnsi="Arial" w:cs="Arial"/>
          <w:szCs w:val="24"/>
          <w:lang w:eastAsia="en-GB"/>
        </w:rPr>
        <w:t xml:space="preserve"> </w:t>
      </w:r>
      <w:r w:rsidR="00CA26A5">
        <w:rPr>
          <w:rFonts w:ascii="Arial" w:hAnsi="Arial" w:cs="Arial"/>
          <w:szCs w:val="24"/>
          <w:lang w:eastAsia="en-GB"/>
        </w:rPr>
        <w:t>The Projects Update provides a description of the performance of Borough food waste collections.</w:t>
      </w:r>
    </w:p>
    <w:p w14:paraId="22BE5DBC" w14:textId="3979104E"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p>
    <w:p w14:paraId="715A0ADB" w14:textId="691A952B" w:rsidR="0028110D" w:rsidRDefault="00070DFF" w:rsidP="0064176F">
      <w:pPr>
        <w:autoSpaceDE w:val="0"/>
        <w:autoSpaceDN w:val="0"/>
        <w:adjustRightInd w:val="0"/>
        <w:spacing w:after="120"/>
        <w:ind w:left="170"/>
        <w:rPr>
          <w:rFonts w:ascii="Arial" w:hAnsi="Arial" w:cs="Arial"/>
          <w:lang w:eastAsia="en-GB"/>
        </w:rPr>
      </w:pPr>
      <w:r>
        <w:rPr>
          <w:rFonts w:ascii="Arial" w:hAnsi="Arial" w:cs="Arial"/>
          <w:lang w:eastAsia="en-GB"/>
        </w:rPr>
        <w:t xml:space="preserve">The </w:t>
      </w:r>
      <w:r w:rsidR="00575E15">
        <w:rPr>
          <w:rFonts w:ascii="Arial" w:hAnsi="Arial" w:cs="Arial"/>
          <w:lang w:eastAsia="en-GB"/>
        </w:rPr>
        <w:t xml:space="preserve">new green waste contract with West London Composting </w:t>
      </w:r>
      <w:r w:rsidR="003A2C28">
        <w:rPr>
          <w:rFonts w:ascii="Arial" w:hAnsi="Arial" w:cs="Arial"/>
          <w:lang w:eastAsia="en-GB"/>
        </w:rPr>
        <w:t xml:space="preserve">(WLC) </w:t>
      </w:r>
      <w:r>
        <w:rPr>
          <w:rFonts w:ascii="Arial" w:hAnsi="Arial" w:cs="Arial"/>
          <w:lang w:eastAsia="en-GB"/>
        </w:rPr>
        <w:t xml:space="preserve">was mobilised on 1 May and has been operating very effectively. </w:t>
      </w:r>
      <w:r w:rsidR="00575E15">
        <w:rPr>
          <w:rFonts w:ascii="Arial" w:hAnsi="Arial" w:cs="Arial"/>
          <w:lang w:eastAsia="en-GB"/>
        </w:rPr>
        <w:t>The contract includes a free allocation of compost for WLWA and the Boroughs. Officers are developing plans for how best to use the compost, including supporting Borough landscaping operations and give-aways to residents and community groups.</w:t>
      </w:r>
    </w:p>
    <w:p w14:paraId="3CABAB11" w14:textId="1567D96B" w:rsidR="003A2C28" w:rsidRDefault="003A2C28" w:rsidP="0064176F">
      <w:pPr>
        <w:autoSpaceDE w:val="0"/>
        <w:autoSpaceDN w:val="0"/>
        <w:adjustRightInd w:val="0"/>
        <w:spacing w:after="120"/>
        <w:ind w:left="170"/>
        <w:rPr>
          <w:rFonts w:ascii="Arial" w:hAnsi="Arial" w:cs="Arial"/>
          <w:lang w:eastAsia="en-GB"/>
        </w:rPr>
      </w:pPr>
      <w:r>
        <w:rPr>
          <w:rFonts w:ascii="Arial" w:hAnsi="Arial" w:cs="Arial"/>
          <w:lang w:eastAsia="en-GB"/>
        </w:rPr>
        <w:t xml:space="preserve">A fire occurred at WLC’s composting site in Harefield </w:t>
      </w:r>
      <w:r w:rsidR="00B9125D">
        <w:rPr>
          <w:rFonts w:ascii="Arial" w:hAnsi="Arial" w:cs="Arial"/>
          <w:lang w:eastAsia="en-GB"/>
        </w:rPr>
        <w:t xml:space="preserve">on the night of Monday 12 September. Nobody was injured and the fire was extinguished. Some equipment was </w:t>
      </w:r>
      <w:proofErr w:type="gramStart"/>
      <w:r w:rsidR="00B9125D">
        <w:rPr>
          <w:rFonts w:ascii="Arial" w:hAnsi="Arial" w:cs="Arial"/>
          <w:lang w:eastAsia="en-GB"/>
        </w:rPr>
        <w:t>damaged</w:t>
      </w:r>
      <w:proofErr w:type="gramEnd"/>
      <w:r w:rsidR="00B9125D">
        <w:rPr>
          <w:rFonts w:ascii="Arial" w:hAnsi="Arial" w:cs="Arial"/>
          <w:lang w:eastAsia="en-GB"/>
        </w:rPr>
        <w:t xml:space="preserve"> but the site is still able to accept directly delivered green waste, and contingency composting sites are being used whilst the equipment is replaced.</w:t>
      </w:r>
    </w:p>
    <w:p w14:paraId="768A94FA" w14:textId="77777777" w:rsidR="002D7DA9" w:rsidRPr="004872E3" w:rsidRDefault="002D7DA9" w:rsidP="00D7602D">
      <w:pPr>
        <w:keepNext/>
        <w:numPr>
          <w:ilvl w:val="0"/>
          <w:numId w:val="2"/>
        </w:numPr>
        <w:autoSpaceDE w:val="0"/>
        <w:autoSpaceDN w:val="0"/>
        <w:adjustRightInd w:val="0"/>
        <w:spacing w:after="120"/>
        <w:rPr>
          <w:rFonts w:ascii="Arial" w:hAnsi="Arial" w:cs="Arial"/>
          <w:b/>
          <w:szCs w:val="24"/>
          <w:lang w:eastAsia="en-GB"/>
        </w:rPr>
      </w:pPr>
      <w:r w:rsidRPr="004872E3">
        <w:rPr>
          <w:rFonts w:ascii="Arial" w:hAnsi="Arial" w:cs="Arial"/>
          <w:b/>
          <w:szCs w:val="24"/>
          <w:lang w:eastAsia="en-GB"/>
        </w:rPr>
        <w:t>Transport contracts</w:t>
      </w:r>
    </w:p>
    <w:p w14:paraId="057D22DF" w14:textId="7C5850BE" w:rsidR="00070DFF" w:rsidRDefault="00070DFF" w:rsidP="00ED599E">
      <w:pPr>
        <w:tabs>
          <w:tab w:val="center" w:pos="5318"/>
        </w:tabs>
        <w:autoSpaceDE w:val="0"/>
        <w:autoSpaceDN w:val="0"/>
        <w:adjustRightInd w:val="0"/>
        <w:spacing w:after="120"/>
        <w:ind w:left="170"/>
        <w:rPr>
          <w:rFonts w:ascii="Arial" w:hAnsi="Arial" w:cs="Arial"/>
          <w:szCs w:val="24"/>
          <w:lang w:eastAsia="en-GB"/>
        </w:rPr>
      </w:pPr>
      <w:bookmarkStart w:id="1" w:name="_Hlk28851588"/>
      <w:r>
        <w:rPr>
          <w:rFonts w:ascii="Arial" w:hAnsi="Arial" w:cs="Arial"/>
          <w:szCs w:val="24"/>
          <w:lang w:eastAsia="en-GB"/>
        </w:rPr>
        <w:t>The Authority lets two waste transport contracts:</w:t>
      </w:r>
    </w:p>
    <w:p w14:paraId="2B781837" w14:textId="23DCD3AD" w:rsidR="00070DFF" w:rsidRPr="00F37AB1" w:rsidRDefault="00070DFF" w:rsidP="00F37AB1">
      <w:pPr>
        <w:pStyle w:val="ListParagraph"/>
        <w:numPr>
          <w:ilvl w:val="0"/>
          <w:numId w:val="13"/>
        </w:numPr>
        <w:autoSpaceDE w:val="0"/>
        <w:autoSpaceDN w:val="0"/>
        <w:adjustRightInd w:val="0"/>
        <w:spacing w:after="120"/>
        <w:rPr>
          <w:sz w:val="24"/>
          <w:szCs w:val="28"/>
          <w:lang w:eastAsia="en-GB"/>
        </w:rPr>
      </w:pPr>
      <w:r>
        <w:rPr>
          <w:sz w:val="24"/>
          <w:szCs w:val="28"/>
          <w:lang w:eastAsia="en-GB"/>
        </w:rPr>
        <w:t>One f</w:t>
      </w:r>
      <w:r w:rsidRPr="0064176F">
        <w:rPr>
          <w:sz w:val="24"/>
          <w:szCs w:val="28"/>
          <w:lang w:eastAsia="en-GB"/>
        </w:rPr>
        <w:t xml:space="preserve">or transporting non-recyclable waste from </w:t>
      </w:r>
      <w:r w:rsidR="00291C46">
        <w:rPr>
          <w:sz w:val="24"/>
          <w:szCs w:val="28"/>
          <w:lang w:eastAsia="en-GB"/>
        </w:rPr>
        <w:t>Borough waste transfer stations</w:t>
      </w:r>
      <w:r>
        <w:rPr>
          <w:sz w:val="24"/>
          <w:szCs w:val="28"/>
          <w:lang w:eastAsia="en-GB"/>
        </w:rPr>
        <w:t xml:space="preserve"> and Dry Mixed Recycling (DMR) collected by Ealing, typically using bulk haulage vehicles</w:t>
      </w:r>
      <w:r w:rsidR="00F37AB1" w:rsidRPr="00F37AB1">
        <w:rPr>
          <w:sz w:val="24"/>
          <w:szCs w:val="28"/>
          <w:lang w:eastAsia="en-GB"/>
        </w:rPr>
        <w:t>,</w:t>
      </w:r>
      <w:r w:rsidR="00F37AB1">
        <w:rPr>
          <w:sz w:val="24"/>
          <w:szCs w:val="28"/>
          <w:lang w:eastAsia="en-GB"/>
        </w:rPr>
        <w:t xml:space="preserve"> </w:t>
      </w:r>
      <w:r w:rsidR="00F37AB1" w:rsidRPr="00F37AB1">
        <w:rPr>
          <w:sz w:val="24"/>
          <w:szCs w:val="28"/>
          <w:lang w:eastAsia="en-GB"/>
        </w:rPr>
        <w:t>operated by Waste-A-Way Recycling</w:t>
      </w:r>
      <w:r w:rsidR="00F37AB1">
        <w:rPr>
          <w:sz w:val="24"/>
          <w:szCs w:val="28"/>
          <w:lang w:eastAsia="en-GB"/>
        </w:rPr>
        <w:t>.</w:t>
      </w:r>
    </w:p>
    <w:p w14:paraId="3945B3F2" w14:textId="6D9CEA7A" w:rsidR="00070DFF" w:rsidRPr="0064176F" w:rsidRDefault="00070DFF" w:rsidP="00070DFF">
      <w:pPr>
        <w:pStyle w:val="ListParagraph"/>
        <w:numPr>
          <w:ilvl w:val="0"/>
          <w:numId w:val="13"/>
        </w:numPr>
        <w:autoSpaceDE w:val="0"/>
        <w:autoSpaceDN w:val="0"/>
        <w:adjustRightInd w:val="0"/>
        <w:spacing w:after="120"/>
        <w:rPr>
          <w:sz w:val="24"/>
          <w:szCs w:val="28"/>
          <w:lang w:eastAsia="en-GB"/>
        </w:rPr>
      </w:pPr>
      <w:r>
        <w:rPr>
          <w:sz w:val="24"/>
          <w:szCs w:val="28"/>
          <w:lang w:eastAsia="en-GB"/>
        </w:rPr>
        <w:lastRenderedPageBreak/>
        <w:t>One f</w:t>
      </w:r>
      <w:r w:rsidRPr="0064176F">
        <w:rPr>
          <w:sz w:val="24"/>
          <w:szCs w:val="28"/>
          <w:lang w:eastAsia="en-GB"/>
        </w:rPr>
        <w:t xml:space="preserve">or the removal of segregated materials from </w:t>
      </w:r>
      <w:r w:rsidR="00291C46">
        <w:rPr>
          <w:sz w:val="24"/>
          <w:szCs w:val="28"/>
          <w:lang w:eastAsia="en-GB"/>
        </w:rPr>
        <w:t>Borough</w:t>
      </w:r>
      <w:r w:rsidRPr="0064176F">
        <w:rPr>
          <w:sz w:val="24"/>
          <w:szCs w:val="28"/>
          <w:lang w:eastAsia="en-GB"/>
        </w:rPr>
        <w:t xml:space="preserve"> HRRC sites in roll-on roll-off </w:t>
      </w:r>
      <w:r>
        <w:rPr>
          <w:sz w:val="24"/>
          <w:szCs w:val="28"/>
          <w:lang w:eastAsia="en-GB"/>
        </w:rPr>
        <w:t>(</w:t>
      </w:r>
      <w:proofErr w:type="spellStart"/>
      <w:r>
        <w:rPr>
          <w:sz w:val="24"/>
          <w:szCs w:val="28"/>
          <w:lang w:eastAsia="en-GB"/>
        </w:rPr>
        <w:t>RoRo</w:t>
      </w:r>
      <w:proofErr w:type="spellEnd"/>
      <w:r>
        <w:rPr>
          <w:sz w:val="24"/>
          <w:szCs w:val="28"/>
          <w:lang w:eastAsia="en-GB"/>
        </w:rPr>
        <w:t xml:space="preserve">) </w:t>
      </w:r>
      <w:r w:rsidRPr="0064176F">
        <w:rPr>
          <w:sz w:val="24"/>
          <w:szCs w:val="28"/>
          <w:lang w:eastAsia="en-GB"/>
        </w:rPr>
        <w:t>containers</w:t>
      </w:r>
      <w:r w:rsidR="00F37AB1">
        <w:rPr>
          <w:sz w:val="24"/>
          <w:szCs w:val="28"/>
          <w:lang w:eastAsia="en-GB"/>
        </w:rPr>
        <w:t>, operated by Suez</w:t>
      </w:r>
      <w:r w:rsidRPr="0064176F">
        <w:rPr>
          <w:sz w:val="24"/>
          <w:szCs w:val="28"/>
          <w:lang w:eastAsia="en-GB"/>
        </w:rPr>
        <w:t xml:space="preserve">. </w:t>
      </w:r>
    </w:p>
    <w:p w14:paraId="5E87CD11" w14:textId="4A20579A" w:rsidR="00A303B3" w:rsidRDefault="00F37AB1" w:rsidP="0031748D">
      <w:pPr>
        <w:autoSpaceDE w:val="0"/>
        <w:autoSpaceDN w:val="0"/>
        <w:adjustRightInd w:val="0"/>
        <w:spacing w:after="120"/>
        <w:ind w:left="170"/>
        <w:rPr>
          <w:rFonts w:ascii="Arial" w:hAnsi="Arial" w:cs="Arial"/>
          <w:szCs w:val="24"/>
          <w:lang w:eastAsia="en-GB"/>
        </w:rPr>
      </w:pPr>
      <w:r>
        <w:rPr>
          <w:rFonts w:ascii="Arial" w:hAnsi="Arial" w:cs="Arial"/>
          <w:szCs w:val="24"/>
          <w:lang w:eastAsia="en-GB"/>
        </w:rPr>
        <w:t>Both</w:t>
      </w:r>
      <w:r w:rsidR="00291C46">
        <w:rPr>
          <w:rFonts w:ascii="Arial" w:hAnsi="Arial" w:cs="Arial"/>
          <w:szCs w:val="24"/>
          <w:lang w:eastAsia="en-GB"/>
        </w:rPr>
        <w:t xml:space="preserve"> contracts</w:t>
      </w:r>
      <w:r>
        <w:rPr>
          <w:rFonts w:ascii="Arial" w:hAnsi="Arial" w:cs="Arial"/>
          <w:szCs w:val="24"/>
          <w:lang w:eastAsia="en-GB"/>
        </w:rPr>
        <w:t xml:space="preserve"> were reprocured and</w:t>
      </w:r>
      <w:r w:rsidR="00291C46">
        <w:rPr>
          <w:rFonts w:ascii="Arial" w:hAnsi="Arial" w:cs="Arial"/>
          <w:szCs w:val="24"/>
          <w:lang w:eastAsia="en-GB"/>
        </w:rPr>
        <w:t xml:space="preserve"> went live on 1 June</w:t>
      </w:r>
      <w:r w:rsidR="005419E6">
        <w:rPr>
          <w:rFonts w:ascii="Arial" w:hAnsi="Arial" w:cs="Arial"/>
          <w:szCs w:val="24"/>
          <w:lang w:eastAsia="en-GB"/>
        </w:rPr>
        <w:t xml:space="preserve"> </w:t>
      </w:r>
      <w:r w:rsidR="00291C46">
        <w:rPr>
          <w:rFonts w:ascii="Arial" w:hAnsi="Arial" w:cs="Arial"/>
          <w:szCs w:val="24"/>
          <w:lang w:eastAsia="en-GB"/>
        </w:rPr>
        <w:t xml:space="preserve">following a successful mobilisation </w:t>
      </w:r>
      <w:r w:rsidR="005419E6">
        <w:rPr>
          <w:rFonts w:ascii="Arial" w:hAnsi="Arial" w:cs="Arial"/>
          <w:szCs w:val="24"/>
          <w:lang w:eastAsia="en-GB"/>
        </w:rPr>
        <w:t>period.</w:t>
      </w:r>
      <w:r>
        <w:rPr>
          <w:rFonts w:ascii="Arial" w:hAnsi="Arial" w:cs="Arial"/>
          <w:szCs w:val="24"/>
          <w:lang w:eastAsia="en-GB"/>
        </w:rPr>
        <w:t xml:space="preserve"> Suez operated the </w:t>
      </w:r>
      <w:proofErr w:type="spellStart"/>
      <w:r>
        <w:rPr>
          <w:rFonts w:ascii="Arial" w:hAnsi="Arial" w:cs="Arial"/>
          <w:szCs w:val="24"/>
          <w:lang w:eastAsia="en-GB"/>
        </w:rPr>
        <w:t>RoRo</w:t>
      </w:r>
      <w:proofErr w:type="spellEnd"/>
      <w:r>
        <w:rPr>
          <w:rFonts w:ascii="Arial" w:hAnsi="Arial" w:cs="Arial"/>
          <w:szCs w:val="24"/>
          <w:lang w:eastAsia="en-GB"/>
        </w:rPr>
        <w:t xml:space="preserve"> contract prior to the procurement</w:t>
      </w:r>
      <w:r w:rsidR="00CD7BC3">
        <w:rPr>
          <w:rFonts w:ascii="Arial" w:hAnsi="Arial" w:cs="Arial"/>
          <w:szCs w:val="24"/>
          <w:lang w:eastAsia="en-GB"/>
        </w:rPr>
        <w:t xml:space="preserve">, and it </w:t>
      </w:r>
      <w:r>
        <w:rPr>
          <w:rFonts w:ascii="Arial" w:hAnsi="Arial" w:cs="Arial"/>
          <w:szCs w:val="24"/>
          <w:lang w:eastAsia="en-GB"/>
        </w:rPr>
        <w:t>continues to run</w:t>
      </w:r>
      <w:r w:rsidR="00CD7BC3">
        <w:rPr>
          <w:rFonts w:ascii="Arial" w:hAnsi="Arial" w:cs="Arial"/>
          <w:szCs w:val="24"/>
          <w:lang w:eastAsia="en-GB"/>
        </w:rPr>
        <w:t xml:space="preserve"> the contract very</w:t>
      </w:r>
      <w:r>
        <w:rPr>
          <w:rFonts w:ascii="Arial" w:hAnsi="Arial" w:cs="Arial"/>
          <w:szCs w:val="24"/>
          <w:lang w:eastAsia="en-GB"/>
        </w:rPr>
        <w:t xml:space="preserve"> well</w:t>
      </w:r>
      <w:r w:rsidR="00CD7BC3">
        <w:rPr>
          <w:rFonts w:ascii="Arial" w:hAnsi="Arial" w:cs="Arial"/>
          <w:szCs w:val="24"/>
          <w:lang w:eastAsia="en-GB"/>
        </w:rPr>
        <w:t xml:space="preserve">. Waste-A-Way has settled into running the bulk haulage contract and is doing this well. The scheduling of collections from the Borough sites is different in some cases, so the Boroughs and the Contractor are currently adjusting to the changes and finding </w:t>
      </w:r>
      <w:r w:rsidR="004872E3">
        <w:rPr>
          <w:rFonts w:ascii="Arial" w:hAnsi="Arial" w:cs="Arial"/>
          <w:szCs w:val="24"/>
          <w:lang w:eastAsia="en-GB"/>
        </w:rPr>
        <w:t>the optimal working arrangements.</w:t>
      </w:r>
      <w:r w:rsidR="00CD7BC3">
        <w:rPr>
          <w:rFonts w:ascii="Arial" w:hAnsi="Arial" w:cs="Arial"/>
          <w:szCs w:val="24"/>
          <w:lang w:eastAsia="en-GB"/>
        </w:rPr>
        <w:t xml:space="preserve">  </w:t>
      </w:r>
    </w:p>
    <w:bookmarkEnd w:id="1"/>
    <w:p w14:paraId="09FEB457" w14:textId="77777777" w:rsidR="002D7DA9" w:rsidRPr="0064176F" w:rsidRDefault="00885B22" w:rsidP="00E85C06">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12826A49" w14:textId="78407E38" w:rsidR="00DC0A0E" w:rsidRDefault="00436C75" w:rsidP="00436C75">
      <w:pPr>
        <w:keepNext/>
        <w:autoSpaceDE w:val="0"/>
        <w:autoSpaceDN w:val="0"/>
        <w:adjustRightInd w:val="0"/>
        <w:spacing w:after="120"/>
        <w:ind w:left="170"/>
        <w:rPr>
          <w:rFonts w:ascii="Arial" w:hAnsi="Arial" w:cs="Arial"/>
          <w:szCs w:val="24"/>
          <w:lang w:eastAsia="en-GB"/>
        </w:rPr>
      </w:pPr>
      <w:r w:rsidRPr="00436C75">
        <w:rPr>
          <w:rFonts w:ascii="Arial" w:hAnsi="Arial" w:cs="Arial"/>
          <w:szCs w:val="24"/>
          <w:lang w:eastAsia="en-GB"/>
        </w:rPr>
        <w:t>The contract is operating well, and there are no operational issues to report.</w:t>
      </w:r>
    </w:p>
    <w:p w14:paraId="4C271AF6" w14:textId="461290E3" w:rsidR="004872E3" w:rsidRPr="0064176F" w:rsidRDefault="004872E3" w:rsidP="004872E3">
      <w:pPr>
        <w:keepNext/>
        <w:numPr>
          <w:ilvl w:val="0"/>
          <w:numId w:val="2"/>
        </w:numPr>
        <w:autoSpaceDE w:val="0"/>
        <w:autoSpaceDN w:val="0"/>
        <w:adjustRightInd w:val="0"/>
        <w:spacing w:after="120"/>
        <w:rPr>
          <w:rFonts w:ascii="Arial" w:hAnsi="Arial" w:cs="Arial"/>
          <w:b/>
          <w:szCs w:val="24"/>
          <w:lang w:eastAsia="en-GB"/>
        </w:rPr>
      </w:pPr>
      <w:r>
        <w:rPr>
          <w:rFonts w:ascii="Arial" w:hAnsi="Arial" w:cs="Arial"/>
          <w:b/>
          <w:szCs w:val="24"/>
          <w:lang w:eastAsia="en-GB"/>
        </w:rPr>
        <w:t>Rubble contract</w:t>
      </w:r>
      <w:r w:rsidRPr="0064176F">
        <w:rPr>
          <w:rFonts w:ascii="Arial" w:hAnsi="Arial" w:cs="Arial"/>
          <w:szCs w:val="24"/>
          <w:lang w:eastAsia="en-GB"/>
        </w:rPr>
        <w:t xml:space="preserve"> </w:t>
      </w:r>
    </w:p>
    <w:p w14:paraId="13423413" w14:textId="65CA8279" w:rsidR="004872E3" w:rsidRDefault="005A567D" w:rsidP="004872E3">
      <w:pPr>
        <w:keepNext/>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A new </w:t>
      </w:r>
      <w:r w:rsidR="004872E3" w:rsidRPr="00436C75">
        <w:rPr>
          <w:rFonts w:ascii="Arial" w:hAnsi="Arial" w:cs="Arial"/>
          <w:szCs w:val="24"/>
          <w:lang w:eastAsia="en-GB"/>
        </w:rPr>
        <w:t>contract</w:t>
      </w:r>
      <w:r>
        <w:rPr>
          <w:rFonts w:ascii="Arial" w:hAnsi="Arial" w:cs="Arial"/>
          <w:szCs w:val="24"/>
          <w:lang w:eastAsia="en-GB"/>
        </w:rPr>
        <w:t xml:space="preserve"> for managing around 4,000 tonnes a year of rubble, hardcore and soil from the Borough HRRCs/transfer stations has been procured. A robust procurement exercise via the Dynamic Procurement System (DPS) attracted lots of market interest, and four strong bids were received. The winning bidder was Quattro</w:t>
      </w:r>
      <w:r w:rsidR="00154513">
        <w:rPr>
          <w:rFonts w:ascii="Arial" w:hAnsi="Arial" w:cs="Arial"/>
          <w:szCs w:val="24"/>
          <w:lang w:eastAsia="en-GB"/>
        </w:rPr>
        <w:t xml:space="preserve"> UK ltd, which has a site in Acton and others across the west London area. Quattro submitted a bid which demonstrated a strong approach to carbon management and social value, plus a high diversion rate from landfill of 99.8%. Its price was the significantly lower than </w:t>
      </w:r>
      <w:r w:rsidR="00655AFA">
        <w:rPr>
          <w:rFonts w:ascii="Arial" w:hAnsi="Arial" w:cs="Arial"/>
          <w:szCs w:val="24"/>
          <w:lang w:eastAsia="en-GB"/>
        </w:rPr>
        <w:t xml:space="preserve">previous </w:t>
      </w:r>
      <w:r w:rsidR="00DF1CB9">
        <w:rPr>
          <w:rFonts w:ascii="Arial" w:hAnsi="Arial" w:cs="Arial"/>
          <w:szCs w:val="24"/>
          <w:lang w:eastAsia="en-GB"/>
        </w:rPr>
        <w:t>arrangements and will deliver a</w:t>
      </w:r>
      <w:r w:rsidR="00655AFA">
        <w:rPr>
          <w:rFonts w:ascii="Arial" w:hAnsi="Arial" w:cs="Arial"/>
          <w:szCs w:val="24"/>
          <w:lang w:eastAsia="en-GB"/>
        </w:rPr>
        <w:t xml:space="preserve"> saving </w:t>
      </w:r>
      <w:r w:rsidR="00DF1CB9">
        <w:rPr>
          <w:rFonts w:ascii="Arial" w:hAnsi="Arial" w:cs="Arial"/>
          <w:szCs w:val="24"/>
          <w:lang w:eastAsia="en-GB"/>
        </w:rPr>
        <w:t>of around 35% or £60k/</w:t>
      </w:r>
      <w:proofErr w:type="spellStart"/>
      <w:r w:rsidR="00DF1CB9">
        <w:rPr>
          <w:rFonts w:ascii="Arial" w:hAnsi="Arial" w:cs="Arial"/>
          <w:szCs w:val="24"/>
          <w:lang w:eastAsia="en-GB"/>
        </w:rPr>
        <w:t>yr</w:t>
      </w:r>
      <w:proofErr w:type="spellEnd"/>
      <w:r w:rsidR="00DF1CB9">
        <w:rPr>
          <w:rFonts w:ascii="Arial" w:hAnsi="Arial" w:cs="Arial"/>
          <w:szCs w:val="24"/>
          <w:lang w:eastAsia="en-GB"/>
        </w:rPr>
        <w:t xml:space="preserve"> against the budget</w:t>
      </w:r>
      <w:r w:rsidR="00655AFA">
        <w:rPr>
          <w:rFonts w:ascii="Arial" w:hAnsi="Arial" w:cs="Arial"/>
          <w:szCs w:val="24"/>
          <w:lang w:eastAsia="en-GB"/>
        </w:rPr>
        <w:t>. The contract starts on 12 September and will last for one year with the option to extend by a further year.</w:t>
      </w:r>
      <w:r w:rsidR="00154513">
        <w:rPr>
          <w:rFonts w:ascii="Arial" w:hAnsi="Arial" w:cs="Arial"/>
          <w:szCs w:val="24"/>
          <w:lang w:eastAsia="en-GB"/>
        </w:rPr>
        <w:t xml:space="preserve"> </w:t>
      </w:r>
      <w:r w:rsidR="00DF1CB9">
        <w:rPr>
          <w:rFonts w:ascii="Arial" w:hAnsi="Arial" w:cs="Arial"/>
          <w:szCs w:val="24"/>
          <w:lang w:eastAsia="en-GB"/>
        </w:rPr>
        <w:t>The Procurement Award Report is attached at Appendix 1.</w:t>
      </w:r>
      <w:r w:rsidR="00154513">
        <w:rPr>
          <w:rFonts w:ascii="Arial" w:hAnsi="Arial" w:cs="Arial"/>
          <w:szCs w:val="24"/>
          <w:lang w:eastAsia="en-GB"/>
        </w:rPr>
        <w:t xml:space="preserve"> </w:t>
      </w:r>
    </w:p>
    <w:p w14:paraId="1694EB67" w14:textId="50DAC307"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w:t>
      </w:r>
      <w:r w:rsidR="00255550">
        <w:rPr>
          <w:rFonts w:ascii="Arial" w:hAnsi="Arial" w:cs="Arial"/>
          <w:b/>
          <w:bCs/>
          <w:szCs w:val="24"/>
          <w:lang w:eastAsia="en-GB"/>
        </w:rPr>
        <w:t xml:space="preserve">aste </w:t>
      </w:r>
      <w:r w:rsidR="00666543" w:rsidRPr="00861AC9">
        <w:rPr>
          <w:rFonts w:ascii="Arial" w:hAnsi="Arial" w:cs="Arial"/>
          <w:b/>
          <w:bCs/>
          <w:szCs w:val="24"/>
          <w:lang w:eastAsia="en-GB"/>
        </w:rPr>
        <w:t>T</w:t>
      </w:r>
      <w:r w:rsidR="00255550">
        <w:rPr>
          <w:rFonts w:ascii="Arial" w:hAnsi="Arial" w:cs="Arial"/>
          <w:b/>
          <w:bCs/>
          <w:szCs w:val="24"/>
          <w:lang w:eastAsia="en-GB"/>
        </w:rPr>
        <w:t xml:space="preserve">ransfer </w:t>
      </w:r>
      <w:r w:rsidR="00666543" w:rsidRPr="00861AC9">
        <w:rPr>
          <w:rFonts w:ascii="Arial" w:hAnsi="Arial" w:cs="Arial"/>
          <w:b/>
          <w:bCs/>
          <w:szCs w:val="24"/>
          <w:lang w:eastAsia="en-GB"/>
        </w:rPr>
        <w:t>S</w:t>
      </w:r>
      <w:r w:rsidR="00255550">
        <w:rPr>
          <w:rFonts w:ascii="Arial" w:hAnsi="Arial" w:cs="Arial"/>
          <w:b/>
          <w:bCs/>
          <w:szCs w:val="24"/>
          <w:lang w:eastAsia="en-GB"/>
        </w:rPr>
        <w:t>tation</w:t>
      </w:r>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296C201F" w14:textId="648205BB" w:rsidR="00DE5705" w:rsidRDefault="00255550"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In late August there was an incident in the waste transfer station where the Loading Shovel reversed into the 360 Grab vehicle while it was operating. There were no injuries, but the Loading Shovel was damaged and has since been repaired. </w:t>
      </w:r>
      <w:r w:rsidR="00B83A89">
        <w:rPr>
          <w:rFonts w:ascii="Arial" w:hAnsi="Arial" w:cs="Arial"/>
          <w:szCs w:val="24"/>
          <w:lang w:eastAsia="en-GB"/>
        </w:rPr>
        <w:t>A full investigation</w:t>
      </w:r>
      <w:r w:rsidR="00AF4F79">
        <w:rPr>
          <w:rFonts w:ascii="Arial" w:hAnsi="Arial" w:cs="Arial"/>
          <w:szCs w:val="24"/>
          <w:lang w:eastAsia="en-GB"/>
        </w:rPr>
        <w:t xml:space="preserve"> into this health and s</w:t>
      </w:r>
      <w:r w:rsidR="001503B2">
        <w:rPr>
          <w:rFonts w:ascii="Arial" w:hAnsi="Arial" w:cs="Arial"/>
          <w:szCs w:val="24"/>
          <w:lang w:eastAsia="en-GB"/>
        </w:rPr>
        <w:t>afety incident</w:t>
      </w:r>
      <w:r w:rsidR="00B83A89">
        <w:rPr>
          <w:rFonts w:ascii="Arial" w:hAnsi="Arial" w:cs="Arial"/>
          <w:szCs w:val="24"/>
          <w:lang w:eastAsia="en-GB"/>
        </w:rPr>
        <w:t xml:space="preserve"> is </w:t>
      </w:r>
      <w:r w:rsidR="001815BE">
        <w:rPr>
          <w:rFonts w:ascii="Arial" w:hAnsi="Arial" w:cs="Arial"/>
          <w:szCs w:val="24"/>
          <w:lang w:eastAsia="en-GB"/>
        </w:rPr>
        <w:t xml:space="preserve">in progress and </w:t>
      </w:r>
      <w:r w:rsidR="001503B2">
        <w:rPr>
          <w:rFonts w:ascii="Arial" w:hAnsi="Arial" w:cs="Arial"/>
          <w:szCs w:val="24"/>
          <w:lang w:eastAsia="en-GB"/>
        </w:rPr>
        <w:t>an employee has been suspended as a precautionary measure</w:t>
      </w:r>
      <w:r w:rsidR="00B83A89">
        <w:rPr>
          <w:rFonts w:ascii="Arial" w:hAnsi="Arial" w:cs="Arial"/>
          <w:szCs w:val="24"/>
          <w:lang w:eastAsia="en-GB"/>
        </w:rPr>
        <w:t xml:space="preserve"> </w:t>
      </w:r>
      <w:r w:rsidR="001815BE">
        <w:rPr>
          <w:rFonts w:ascii="Arial" w:hAnsi="Arial" w:cs="Arial"/>
          <w:szCs w:val="24"/>
          <w:lang w:eastAsia="en-GB"/>
        </w:rPr>
        <w:t xml:space="preserve">while </w:t>
      </w:r>
      <w:r w:rsidR="00B83A89">
        <w:rPr>
          <w:rFonts w:ascii="Arial" w:hAnsi="Arial" w:cs="Arial"/>
          <w:szCs w:val="24"/>
          <w:lang w:eastAsia="en-GB"/>
        </w:rPr>
        <w:t>the outcomes</w:t>
      </w:r>
      <w:r w:rsidR="001816D0">
        <w:rPr>
          <w:rFonts w:ascii="Arial" w:hAnsi="Arial" w:cs="Arial"/>
          <w:szCs w:val="24"/>
          <w:lang w:eastAsia="en-GB"/>
        </w:rPr>
        <w:t xml:space="preserve"> are determined</w:t>
      </w:r>
      <w:r w:rsidR="00B83A89">
        <w:rPr>
          <w:rFonts w:ascii="Arial" w:hAnsi="Arial" w:cs="Arial"/>
          <w:szCs w:val="24"/>
          <w:lang w:eastAsia="en-GB"/>
        </w:rPr>
        <w:t xml:space="preserve">. </w:t>
      </w:r>
      <w:r>
        <w:rPr>
          <w:rFonts w:ascii="Arial" w:hAnsi="Arial" w:cs="Arial"/>
          <w:szCs w:val="24"/>
          <w:lang w:eastAsia="en-GB"/>
        </w:rPr>
        <w:t xml:space="preserve">  </w:t>
      </w:r>
    </w:p>
    <w:p w14:paraId="30F235EB" w14:textId="36672683" w:rsidR="001503B2" w:rsidRDefault="00AF4F79" w:rsidP="00574B20">
      <w:pPr>
        <w:autoSpaceDE w:val="0"/>
        <w:autoSpaceDN w:val="0"/>
        <w:adjustRightInd w:val="0"/>
        <w:spacing w:after="120"/>
        <w:ind w:left="170"/>
        <w:rPr>
          <w:rFonts w:ascii="Arial" w:hAnsi="Arial" w:cs="Arial"/>
          <w:szCs w:val="24"/>
          <w:lang w:eastAsia="en-GB"/>
        </w:rPr>
      </w:pPr>
      <w:r w:rsidRPr="00AF4F79">
        <w:rPr>
          <w:rFonts w:ascii="Arial" w:hAnsi="Arial" w:cs="Arial"/>
          <w:szCs w:val="24"/>
          <w:lang w:eastAsia="en-GB"/>
        </w:rPr>
        <w:t xml:space="preserve">The </w:t>
      </w:r>
      <w:r w:rsidR="00DE5705" w:rsidRPr="00AF4F79">
        <w:rPr>
          <w:rFonts w:ascii="Arial" w:hAnsi="Arial" w:cs="Arial"/>
          <w:szCs w:val="24"/>
          <w:lang w:eastAsia="en-GB"/>
        </w:rPr>
        <w:t xml:space="preserve">Fixing </w:t>
      </w:r>
      <w:r w:rsidR="006E0698">
        <w:rPr>
          <w:rFonts w:ascii="Arial" w:hAnsi="Arial" w:cs="Arial"/>
          <w:szCs w:val="24"/>
          <w:lang w:eastAsia="en-GB"/>
        </w:rPr>
        <w:t>F</w:t>
      </w:r>
      <w:r w:rsidR="00DE5705" w:rsidRPr="00AF4F79">
        <w:rPr>
          <w:rFonts w:ascii="Arial" w:hAnsi="Arial" w:cs="Arial"/>
          <w:szCs w:val="24"/>
          <w:lang w:eastAsia="en-GB"/>
        </w:rPr>
        <w:t>actory</w:t>
      </w:r>
      <w:r w:rsidRPr="00AF4F79">
        <w:rPr>
          <w:rFonts w:ascii="Arial" w:hAnsi="Arial" w:cs="Arial"/>
          <w:szCs w:val="24"/>
          <w:lang w:eastAsia="en-GB"/>
        </w:rPr>
        <w:t xml:space="preserve"> continues</w:t>
      </w:r>
      <w:r>
        <w:rPr>
          <w:rFonts w:ascii="Arial" w:hAnsi="Arial" w:cs="Arial"/>
          <w:szCs w:val="24"/>
          <w:lang w:eastAsia="en-GB"/>
        </w:rPr>
        <w:t xml:space="preserve"> to develop and improve. It is now receiving laptops from four Borough sites for repair and re-distribution to disadvantaged </w:t>
      </w:r>
      <w:r w:rsidR="004D67E7">
        <w:rPr>
          <w:rFonts w:ascii="Arial" w:hAnsi="Arial" w:cs="Arial"/>
          <w:szCs w:val="24"/>
          <w:lang w:eastAsia="en-GB"/>
        </w:rPr>
        <w:t>groups</w:t>
      </w:r>
      <w:r>
        <w:rPr>
          <w:rFonts w:ascii="Arial" w:hAnsi="Arial" w:cs="Arial"/>
          <w:szCs w:val="24"/>
          <w:lang w:eastAsia="en-GB"/>
        </w:rPr>
        <w:t>, whilst also providing training opportunities for local people.</w:t>
      </w:r>
    </w:p>
    <w:p w14:paraId="4D0F180F" w14:textId="57AD7A85" w:rsidR="00840967" w:rsidRPr="00024498" w:rsidRDefault="001503B2"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Further site improvements include the installation of solar panels on the workshop roof, which is due to take place this month, the purchase of a fully electric forklift and the operational trial of a fully electric 360 grab. Automatic Number Plate Recognition is also being introduced to improve the efficiency of admitting customers to the site.</w:t>
      </w:r>
      <w:r w:rsidR="00AF4F79">
        <w:rPr>
          <w:rFonts w:ascii="Arial" w:hAnsi="Arial" w:cs="Arial"/>
          <w:szCs w:val="24"/>
          <w:lang w:eastAsia="en-GB"/>
        </w:rPr>
        <w:t xml:space="preserve"> </w:t>
      </w:r>
    </w:p>
    <w:p w14:paraId="5D47292A" w14:textId="72704D77" w:rsidR="00475F12" w:rsidRPr="00475F12" w:rsidRDefault="00475F12" w:rsidP="00475F12">
      <w:pPr>
        <w:keepNext/>
        <w:numPr>
          <w:ilvl w:val="0"/>
          <w:numId w:val="2"/>
        </w:numPr>
        <w:autoSpaceDE w:val="0"/>
        <w:autoSpaceDN w:val="0"/>
        <w:adjustRightInd w:val="0"/>
        <w:spacing w:after="120"/>
        <w:rPr>
          <w:rFonts w:ascii="Arial" w:hAnsi="Arial" w:cs="Arial"/>
          <w:b/>
          <w:bCs/>
          <w:szCs w:val="24"/>
          <w:lang w:eastAsia="en-GB"/>
        </w:rPr>
      </w:pPr>
      <w:r w:rsidRPr="00475F12">
        <w:rPr>
          <w:rFonts w:ascii="Arial" w:hAnsi="Arial" w:cs="Arial"/>
          <w:b/>
          <w:bCs/>
          <w:szCs w:val="24"/>
          <w:lang w:eastAsia="en-GB"/>
        </w:rPr>
        <w:t>Legislative change</w:t>
      </w:r>
    </w:p>
    <w:p w14:paraId="3B1496C4" w14:textId="06CDBA0B" w:rsidR="00475F12" w:rsidRPr="00475F12" w:rsidRDefault="00475F12" w:rsidP="00475F12">
      <w:pPr>
        <w:autoSpaceDE w:val="0"/>
        <w:autoSpaceDN w:val="0"/>
        <w:adjustRightInd w:val="0"/>
        <w:spacing w:after="120"/>
        <w:ind w:left="170"/>
        <w:rPr>
          <w:rFonts w:ascii="Arial" w:hAnsi="Arial" w:cs="Arial"/>
          <w:szCs w:val="24"/>
          <w:u w:val="single"/>
          <w:lang w:eastAsia="en-GB"/>
        </w:rPr>
      </w:pPr>
      <w:r>
        <w:rPr>
          <w:rFonts w:ascii="Arial" w:hAnsi="Arial" w:cs="Arial"/>
          <w:szCs w:val="24"/>
          <w:u w:val="single"/>
          <w:lang w:eastAsia="en-GB"/>
        </w:rPr>
        <w:t>Persistent Organic Pollutants (POPs)</w:t>
      </w:r>
    </w:p>
    <w:p w14:paraId="4142792D" w14:textId="2E657DEA" w:rsidR="00475F12" w:rsidRDefault="00475F12" w:rsidP="00475F12">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Environment Agency has announced its intention to enforce segregation of waste materials containing Persistent Organic Pollutants (POPs) – which are commonly found in fire retardants and are common in waste electricals and upholstered domestic seating. These items are collected at Borough HRRCs. POPs can cause harm to humans and the wider environment and therefore must be managed safely and not end up in landfill. The Environment Agency has written to waste authorities requ</w:t>
      </w:r>
      <w:r w:rsidR="002F2D0A">
        <w:rPr>
          <w:rFonts w:ascii="Arial" w:hAnsi="Arial" w:cs="Arial"/>
          <w:szCs w:val="24"/>
          <w:lang w:eastAsia="en-GB"/>
        </w:rPr>
        <w:t>iring them to separate out POPs-</w:t>
      </w:r>
      <w:r>
        <w:rPr>
          <w:rFonts w:ascii="Arial" w:hAnsi="Arial" w:cs="Arial"/>
          <w:szCs w:val="24"/>
          <w:lang w:eastAsia="en-GB"/>
        </w:rPr>
        <w:t xml:space="preserve">containing materials that are destined for disposal and send them separately for incineration. </w:t>
      </w:r>
    </w:p>
    <w:p w14:paraId="2E2F91D5" w14:textId="33D06B46" w:rsidR="00475F12" w:rsidRDefault="00475F12" w:rsidP="00475F12">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West London’s authorities already send these materials to energy recovery facilities, but the Agency is asking for them to be handled separately before they get there. This reduces the efficiency of the process, leading to additional cost and carbon impacts throughout the system, including at Borough HRRCs, and it is unclear how it will improve the safe management of POPs. WLWA is therefore working with industry associations including NAWDO and Waste </w:t>
      </w:r>
      <w:r>
        <w:rPr>
          <w:rFonts w:ascii="Arial" w:hAnsi="Arial" w:cs="Arial"/>
          <w:szCs w:val="24"/>
          <w:lang w:eastAsia="en-GB"/>
        </w:rPr>
        <w:lastRenderedPageBreak/>
        <w:t xml:space="preserve">Network Chairs (of which WLWA’s Managing Director is the current Chair) to push for a more pragmatic and risk-based approach that safely manages POPs while maintaining efficient waste systems. </w:t>
      </w:r>
      <w:r w:rsidR="00C849E4">
        <w:rPr>
          <w:rFonts w:ascii="Arial" w:hAnsi="Arial" w:cs="Arial"/>
          <w:szCs w:val="24"/>
          <w:lang w:eastAsia="en-GB"/>
        </w:rPr>
        <w:t>The WLWA operations team is supporting Boroughs to understand and adapt to the impacts of any required changes at Borough sites.</w:t>
      </w:r>
      <w:r>
        <w:rPr>
          <w:rFonts w:ascii="Arial" w:hAnsi="Arial" w:cs="Arial"/>
          <w:szCs w:val="24"/>
          <w:lang w:eastAsia="en-GB"/>
        </w:rPr>
        <w:t xml:space="preserve"> </w:t>
      </w:r>
    </w:p>
    <w:p w14:paraId="5DB038AA" w14:textId="6F1B63BC" w:rsidR="00C849E4" w:rsidRDefault="00C849E4" w:rsidP="00A63A14">
      <w:pPr>
        <w:keepNext/>
        <w:autoSpaceDE w:val="0"/>
        <w:autoSpaceDN w:val="0"/>
        <w:adjustRightInd w:val="0"/>
        <w:spacing w:after="120"/>
        <w:ind w:left="170"/>
        <w:rPr>
          <w:rFonts w:ascii="Arial" w:hAnsi="Arial" w:cs="Arial"/>
          <w:szCs w:val="24"/>
          <w:lang w:eastAsia="en-GB"/>
        </w:rPr>
      </w:pPr>
      <w:r>
        <w:rPr>
          <w:rFonts w:ascii="Arial" w:hAnsi="Arial" w:cs="Arial"/>
          <w:szCs w:val="24"/>
          <w:u w:val="single"/>
          <w:lang w:eastAsia="en-GB"/>
        </w:rPr>
        <w:t>Major waste reforms</w:t>
      </w:r>
    </w:p>
    <w:p w14:paraId="08CE1950" w14:textId="07E5EE1A" w:rsidR="00C849E4" w:rsidRDefault="00DE1038" w:rsidP="00475F12">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Over a year has passed since the Government consulted on major reforms to waste and recycling, including Waste Prevention, Extended Producer Responsibility (EPR), Deposit Return Scheme (DRS), and Consistency of Collections.  </w:t>
      </w:r>
      <w:r w:rsidR="00A54B1F">
        <w:rPr>
          <w:rFonts w:ascii="Arial" w:hAnsi="Arial" w:cs="Arial"/>
          <w:szCs w:val="24"/>
          <w:lang w:eastAsia="en-GB"/>
        </w:rPr>
        <w:t xml:space="preserve">The government has only responded to the EPR consultation results, saying that it will be introduced for household waste, but the roll-out for business waste will be delayed. </w:t>
      </w:r>
      <w:r w:rsidR="00B63B79">
        <w:rPr>
          <w:rFonts w:ascii="Arial" w:hAnsi="Arial" w:cs="Arial"/>
          <w:szCs w:val="24"/>
          <w:lang w:eastAsia="en-GB"/>
        </w:rPr>
        <w:t>All</w:t>
      </w:r>
      <w:r w:rsidR="00A54B1F">
        <w:rPr>
          <w:rFonts w:ascii="Arial" w:hAnsi="Arial" w:cs="Arial"/>
          <w:szCs w:val="24"/>
          <w:lang w:eastAsia="en-GB"/>
        </w:rPr>
        <w:t xml:space="preserve"> the consultations are linked, so the lack of responses causes significant uncertainty for WLWA and the Boroughs because we do not know what will be required of us</w:t>
      </w:r>
      <w:r w:rsidR="00B63B79">
        <w:rPr>
          <w:rFonts w:ascii="Arial" w:hAnsi="Arial" w:cs="Arial"/>
          <w:szCs w:val="24"/>
          <w:lang w:eastAsia="en-GB"/>
        </w:rPr>
        <w:t>, or even when to expect change, and time is running out to meet net zero and recycling rate goals</w:t>
      </w:r>
      <w:r w:rsidR="00A54B1F">
        <w:rPr>
          <w:rFonts w:ascii="Arial" w:hAnsi="Arial" w:cs="Arial"/>
          <w:szCs w:val="24"/>
          <w:lang w:eastAsia="en-GB"/>
        </w:rPr>
        <w:t>. WLWA officers are talking with Borough colleagues regu</w:t>
      </w:r>
      <w:r w:rsidR="00B63B79">
        <w:rPr>
          <w:rFonts w:ascii="Arial" w:hAnsi="Arial" w:cs="Arial"/>
          <w:szCs w:val="24"/>
          <w:lang w:eastAsia="en-GB"/>
        </w:rPr>
        <w:t>larly to understand the risks and possible mitigations as well as possible in this time of uncertainty.</w:t>
      </w:r>
    </w:p>
    <w:p w14:paraId="1AEC045C" w14:textId="1ED9E061" w:rsidR="00B63B79" w:rsidRDefault="007D01EE" w:rsidP="00D8479D">
      <w:pPr>
        <w:keepNext/>
        <w:autoSpaceDE w:val="0"/>
        <w:autoSpaceDN w:val="0"/>
        <w:adjustRightInd w:val="0"/>
        <w:spacing w:after="120"/>
        <w:ind w:left="170"/>
        <w:rPr>
          <w:rFonts w:ascii="Arial" w:hAnsi="Arial" w:cs="Arial"/>
          <w:szCs w:val="24"/>
          <w:u w:val="single"/>
          <w:lang w:eastAsia="en-GB"/>
        </w:rPr>
      </w:pPr>
      <w:r w:rsidRPr="007D01EE">
        <w:rPr>
          <w:rFonts w:ascii="Arial" w:hAnsi="Arial" w:cs="Arial"/>
          <w:szCs w:val="24"/>
          <w:u w:val="single"/>
          <w:lang w:eastAsia="en-GB"/>
        </w:rPr>
        <w:t>Recent consultations</w:t>
      </w:r>
    </w:p>
    <w:p w14:paraId="2781A7CE" w14:textId="09DC76B4" w:rsidR="007D01EE" w:rsidRDefault="00D8479D" w:rsidP="00475F12">
      <w:pPr>
        <w:autoSpaceDE w:val="0"/>
        <w:autoSpaceDN w:val="0"/>
        <w:adjustRightInd w:val="0"/>
        <w:spacing w:after="120"/>
        <w:ind w:left="170"/>
        <w:rPr>
          <w:rFonts w:ascii="Arial" w:hAnsi="Arial" w:cs="Arial"/>
          <w:szCs w:val="24"/>
          <w:lang w:eastAsia="en-GB"/>
        </w:rPr>
      </w:pPr>
      <w:r>
        <w:rPr>
          <w:rFonts w:ascii="Arial" w:hAnsi="Arial" w:cs="Arial"/>
          <w:szCs w:val="24"/>
          <w:lang w:eastAsia="en-GB"/>
        </w:rPr>
        <w:t>Many consultations were published earlier this year on subjects including digital waste tracking, waste carrier registration, environmental targets, booking systems and “DIY” waste charges</w:t>
      </w:r>
      <w:r w:rsidR="004D67E7">
        <w:rPr>
          <w:rFonts w:ascii="Arial" w:hAnsi="Arial" w:cs="Arial"/>
          <w:szCs w:val="24"/>
          <w:lang w:eastAsia="en-GB"/>
        </w:rPr>
        <w:t xml:space="preserve"> at HRRCs</w:t>
      </w:r>
      <w:r>
        <w:rPr>
          <w:rFonts w:ascii="Arial" w:hAnsi="Arial" w:cs="Arial"/>
          <w:szCs w:val="24"/>
          <w:lang w:eastAsia="en-GB"/>
        </w:rPr>
        <w:t xml:space="preserve"> and </w:t>
      </w:r>
      <w:r w:rsidR="004D67E7">
        <w:rPr>
          <w:rFonts w:ascii="Arial" w:hAnsi="Arial" w:cs="Arial"/>
          <w:szCs w:val="24"/>
          <w:lang w:eastAsia="en-GB"/>
        </w:rPr>
        <w:t>the inclusion of</w:t>
      </w:r>
      <w:r>
        <w:rPr>
          <w:rFonts w:ascii="Arial" w:hAnsi="Arial" w:cs="Arial"/>
          <w:szCs w:val="24"/>
          <w:lang w:eastAsia="en-GB"/>
        </w:rPr>
        <w:t xml:space="preserve"> energy from waste within the UK Emissions Trading Scheme (ETS).</w:t>
      </w:r>
      <w:r w:rsidR="00E832AB">
        <w:rPr>
          <w:rFonts w:ascii="Arial" w:hAnsi="Arial" w:cs="Arial"/>
          <w:szCs w:val="24"/>
          <w:lang w:eastAsia="en-GB"/>
        </w:rPr>
        <w:t xml:space="preserve"> WLWA </w:t>
      </w:r>
      <w:r w:rsidR="00F77076">
        <w:rPr>
          <w:rFonts w:ascii="Arial" w:hAnsi="Arial" w:cs="Arial"/>
          <w:szCs w:val="24"/>
          <w:lang w:eastAsia="en-GB"/>
        </w:rPr>
        <w:t>has responded</w:t>
      </w:r>
      <w:r w:rsidR="00E832AB">
        <w:rPr>
          <w:rFonts w:ascii="Arial" w:hAnsi="Arial" w:cs="Arial"/>
          <w:szCs w:val="24"/>
          <w:lang w:eastAsia="en-GB"/>
        </w:rPr>
        <w:t xml:space="preserve"> to </w:t>
      </w:r>
      <w:r w:rsidR="00713B0F">
        <w:rPr>
          <w:rFonts w:ascii="Arial" w:hAnsi="Arial" w:cs="Arial"/>
          <w:szCs w:val="24"/>
          <w:lang w:eastAsia="en-GB"/>
        </w:rPr>
        <w:t>all</w:t>
      </w:r>
      <w:r w:rsidR="00E832AB">
        <w:rPr>
          <w:rFonts w:ascii="Arial" w:hAnsi="Arial" w:cs="Arial"/>
          <w:szCs w:val="24"/>
          <w:lang w:eastAsia="en-GB"/>
        </w:rPr>
        <w:t xml:space="preserve"> the consultations.</w:t>
      </w:r>
    </w:p>
    <w:p w14:paraId="02E8A91F" w14:textId="70C78C21" w:rsidR="00E832AB" w:rsidRPr="007D01EE" w:rsidRDefault="00E832AB" w:rsidP="00475F12">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Out of these consultations, ETS is likely to have the largest impact on WLWA as it could increase </w:t>
      </w:r>
      <w:r w:rsidR="00713B0F">
        <w:rPr>
          <w:rFonts w:ascii="Arial" w:hAnsi="Arial" w:cs="Arial"/>
          <w:szCs w:val="24"/>
          <w:lang w:eastAsia="en-GB"/>
        </w:rPr>
        <w:t xml:space="preserve">residual waste treatment costs </w:t>
      </w:r>
      <w:r w:rsidR="00F77076">
        <w:rPr>
          <w:rFonts w:ascii="Arial" w:hAnsi="Arial" w:cs="Arial"/>
          <w:szCs w:val="24"/>
          <w:lang w:eastAsia="en-GB"/>
        </w:rPr>
        <w:t>by around £36/tonne. These costs can be mitigated by reducing the fossil fuel content of residual waste</w:t>
      </w:r>
      <w:r w:rsidR="00AF4F79">
        <w:rPr>
          <w:rFonts w:ascii="Arial" w:hAnsi="Arial" w:cs="Arial"/>
          <w:szCs w:val="24"/>
          <w:lang w:eastAsia="en-GB"/>
        </w:rPr>
        <w:t>, which will form a key component of the joint plan to 2030 that WLWA is developing in partnership with the Boroughs.</w:t>
      </w:r>
    </w:p>
    <w:p w14:paraId="7695A9CD" w14:textId="23DFBBD8" w:rsidR="00A63A14" w:rsidRPr="00A63A14" w:rsidRDefault="00A63A14" w:rsidP="00A63A14">
      <w:pPr>
        <w:keepNext/>
        <w:numPr>
          <w:ilvl w:val="0"/>
          <w:numId w:val="2"/>
        </w:numPr>
        <w:autoSpaceDE w:val="0"/>
        <w:autoSpaceDN w:val="0"/>
        <w:adjustRightInd w:val="0"/>
        <w:spacing w:after="120"/>
        <w:rPr>
          <w:rFonts w:ascii="Arial" w:hAnsi="Arial" w:cs="Arial"/>
          <w:b/>
          <w:szCs w:val="24"/>
          <w:lang w:eastAsia="en-GB"/>
        </w:rPr>
      </w:pPr>
      <w:r w:rsidRPr="00A63A14">
        <w:rPr>
          <w:rFonts w:ascii="Arial" w:hAnsi="Arial" w:cs="Arial"/>
          <w:b/>
          <w:szCs w:val="24"/>
          <w:lang w:eastAsia="en-GB"/>
        </w:rPr>
        <w:t>Operational changes following the death of HM Queen Elizabeth II</w:t>
      </w:r>
    </w:p>
    <w:p w14:paraId="22A00C46" w14:textId="77777777" w:rsidR="003A2C28" w:rsidRDefault="003A2C28" w:rsidP="00A63A14">
      <w:pPr>
        <w:keepNext/>
        <w:autoSpaceDE w:val="0"/>
        <w:autoSpaceDN w:val="0"/>
        <w:adjustRightInd w:val="0"/>
        <w:spacing w:after="120"/>
        <w:ind w:left="170"/>
        <w:rPr>
          <w:rFonts w:ascii="Arial" w:hAnsi="Arial" w:cs="Arial"/>
          <w:szCs w:val="24"/>
          <w:lang w:eastAsia="en-GB"/>
        </w:rPr>
      </w:pPr>
      <w:r>
        <w:rPr>
          <w:rFonts w:ascii="Arial" w:hAnsi="Arial" w:cs="Arial"/>
          <w:szCs w:val="24"/>
          <w:lang w:eastAsia="en-GB"/>
        </w:rPr>
        <w:t>Some contingency tipping arrangements were put in place for on 13 September due to heavy traffic around Victoria Road transfer station as the Queen’s coffin arrived at RAF Northolt.</w:t>
      </w:r>
    </w:p>
    <w:p w14:paraId="593614B9" w14:textId="33298229" w:rsidR="00A63A14" w:rsidRPr="00A63A14" w:rsidRDefault="003A2C28" w:rsidP="00A63A14">
      <w:pPr>
        <w:keepNext/>
        <w:autoSpaceDE w:val="0"/>
        <w:autoSpaceDN w:val="0"/>
        <w:adjustRightInd w:val="0"/>
        <w:spacing w:after="120"/>
        <w:ind w:left="170"/>
        <w:rPr>
          <w:rFonts w:ascii="Arial" w:hAnsi="Arial" w:cs="Arial"/>
          <w:szCs w:val="24"/>
          <w:lang w:eastAsia="en-GB"/>
        </w:rPr>
      </w:pPr>
      <w:r>
        <w:rPr>
          <w:rFonts w:ascii="Arial" w:hAnsi="Arial" w:cs="Arial"/>
          <w:szCs w:val="24"/>
          <w:lang w:eastAsia="en-GB"/>
        </w:rPr>
        <w:t>All Boroughs decided to postpone waste collections and close their waste transfer stations/HRRCs on the 19 September bank holiday for the Queen’s state funeral. Catch-up collections are scheduled to take place on Saturday 24 September.</w:t>
      </w:r>
    </w:p>
    <w:p w14:paraId="06D0E85C" w14:textId="463F1735" w:rsidR="00A06F3B" w:rsidRDefault="006740D6" w:rsidP="00B63B79">
      <w:pPr>
        <w:keepNext/>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0DBD6B66" w14:textId="239EDB8E" w:rsidR="00B83A89" w:rsidRDefault="001815BE"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Risk assessments are being fully reviewed to account for outcomes from the investigation of the above incident at Abbey Road.</w:t>
      </w:r>
    </w:p>
    <w:p w14:paraId="3C602137" w14:textId="6D0D17C4" w:rsidR="00D45239" w:rsidRDefault="001815BE"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Additional waste at the rail linked transfer stations</w:t>
      </w:r>
      <w:r w:rsidR="001816D0">
        <w:rPr>
          <w:rFonts w:ascii="Arial" w:hAnsi="Arial" w:cs="Arial"/>
          <w:szCs w:val="24"/>
          <w:lang w:eastAsia="en-GB"/>
        </w:rPr>
        <w:t>,</w:t>
      </w:r>
      <w:r>
        <w:rPr>
          <w:rFonts w:ascii="Arial" w:hAnsi="Arial" w:cs="Arial"/>
          <w:szCs w:val="24"/>
          <w:lang w:eastAsia="en-GB"/>
        </w:rPr>
        <w:t xml:space="preserve"> due to the operational issues discussed in Section 2, could </w:t>
      </w:r>
      <w:r w:rsidR="000E4A61">
        <w:rPr>
          <w:rFonts w:ascii="Arial" w:hAnsi="Arial" w:cs="Arial"/>
          <w:szCs w:val="24"/>
          <w:lang w:eastAsia="en-GB"/>
        </w:rPr>
        <w:t>increase the risk of fire. This risk has been communicated to Borough operational colleagues, and the Operations Contractor has put additional fire prevention measures in place.</w:t>
      </w:r>
    </w:p>
    <w:p w14:paraId="5B335D6B" w14:textId="5A246F69" w:rsidR="00B83A89" w:rsidRDefault="00006E91"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Quattro, t</w:t>
      </w:r>
      <w:r w:rsidR="000E4A61">
        <w:rPr>
          <w:rFonts w:ascii="Arial" w:hAnsi="Arial" w:cs="Arial"/>
          <w:szCs w:val="24"/>
          <w:lang w:eastAsia="en-GB"/>
        </w:rPr>
        <w:t>he new rubble contract</w:t>
      </w:r>
      <w:r>
        <w:rPr>
          <w:rFonts w:ascii="Arial" w:hAnsi="Arial" w:cs="Arial"/>
          <w:szCs w:val="24"/>
          <w:lang w:eastAsia="en-GB"/>
        </w:rPr>
        <w:t>or</w:t>
      </w:r>
      <w:r w:rsidR="000E4A61">
        <w:rPr>
          <w:rFonts w:ascii="Arial" w:hAnsi="Arial" w:cs="Arial"/>
          <w:szCs w:val="24"/>
          <w:lang w:eastAsia="en-GB"/>
        </w:rPr>
        <w:t xml:space="preserve"> described in Section 8 will receive Boroughs’ rubble via the transport contractor Suez. WLWA officers will ensure that Suez drivers are </w:t>
      </w:r>
      <w:r>
        <w:rPr>
          <w:rFonts w:ascii="Arial" w:hAnsi="Arial" w:cs="Arial"/>
          <w:szCs w:val="24"/>
          <w:lang w:eastAsia="en-GB"/>
        </w:rPr>
        <w:t>inducted in the safe use of Quattro’s sites.</w:t>
      </w:r>
    </w:p>
    <w:p w14:paraId="2F43F106" w14:textId="2D078328" w:rsidR="00B83A89" w:rsidRDefault="00006E91"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Authority’s health and safety </w:t>
      </w:r>
      <w:r w:rsidR="001816D0">
        <w:rPr>
          <w:rFonts w:ascii="Arial" w:hAnsi="Arial" w:cs="Arial"/>
          <w:szCs w:val="24"/>
          <w:lang w:eastAsia="en-GB"/>
        </w:rPr>
        <w:t xml:space="preserve">rules </w:t>
      </w:r>
      <w:r>
        <w:rPr>
          <w:rFonts w:ascii="Arial" w:hAnsi="Arial" w:cs="Arial"/>
          <w:szCs w:val="24"/>
          <w:lang w:eastAsia="en-GB"/>
        </w:rPr>
        <w:t xml:space="preserve">may be updated to allow </w:t>
      </w:r>
      <w:r w:rsidR="00DF1CB9">
        <w:rPr>
          <w:rFonts w:ascii="Arial" w:hAnsi="Arial" w:cs="Arial"/>
          <w:szCs w:val="24"/>
          <w:lang w:eastAsia="en-GB"/>
        </w:rPr>
        <w:t xml:space="preserve">vulnerable persons including </w:t>
      </w:r>
      <w:r>
        <w:rPr>
          <w:rFonts w:ascii="Arial" w:hAnsi="Arial" w:cs="Arial"/>
          <w:szCs w:val="24"/>
          <w:lang w:eastAsia="en-GB"/>
        </w:rPr>
        <w:t>young persons (aged 16-18) to work at Abbey Road, particularly to gain experience in circular econo</w:t>
      </w:r>
      <w:r w:rsidR="00CE1CD6">
        <w:rPr>
          <w:rFonts w:ascii="Arial" w:hAnsi="Arial" w:cs="Arial"/>
          <w:szCs w:val="24"/>
          <w:lang w:eastAsia="en-GB"/>
        </w:rPr>
        <w:t xml:space="preserve">my activities. Please refer to the Health and </w:t>
      </w:r>
      <w:r w:rsidR="00DF1CB9">
        <w:rPr>
          <w:rFonts w:ascii="Arial" w:hAnsi="Arial" w:cs="Arial"/>
          <w:szCs w:val="24"/>
          <w:lang w:eastAsia="en-GB"/>
        </w:rPr>
        <w:t>S</w:t>
      </w:r>
      <w:r w:rsidR="00CE1CD6">
        <w:rPr>
          <w:rFonts w:ascii="Arial" w:hAnsi="Arial" w:cs="Arial"/>
          <w:szCs w:val="24"/>
          <w:lang w:eastAsia="en-GB"/>
        </w:rPr>
        <w:t xml:space="preserve">afety </w:t>
      </w:r>
      <w:r w:rsidR="00DF1CB9">
        <w:rPr>
          <w:rFonts w:ascii="Arial" w:hAnsi="Arial" w:cs="Arial"/>
          <w:szCs w:val="24"/>
          <w:lang w:eastAsia="en-GB"/>
        </w:rPr>
        <w:t>report</w:t>
      </w:r>
      <w:r w:rsidR="00CE1CD6">
        <w:rPr>
          <w:rFonts w:ascii="Arial" w:hAnsi="Arial" w:cs="Arial"/>
          <w:szCs w:val="24"/>
          <w:lang w:eastAsia="en-GB"/>
        </w:rPr>
        <w:t xml:space="preserve"> </w:t>
      </w:r>
      <w:r>
        <w:rPr>
          <w:rFonts w:ascii="Arial" w:hAnsi="Arial" w:cs="Arial"/>
          <w:szCs w:val="24"/>
          <w:lang w:eastAsia="en-GB"/>
        </w:rPr>
        <w:t xml:space="preserve">for a proposal. </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3D32D92F" w14:textId="177B42B3" w:rsidR="00623761" w:rsidRDefault="00F61C67"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Upgrades to the cranes and fire suppression systems at the waste transfer stations will be financed by </w:t>
      </w:r>
      <w:r w:rsidR="00550E46">
        <w:rPr>
          <w:rFonts w:ascii="Arial" w:hAnsi="Arial" w:cs="Arial"/>
          <w:szCs w:val="24"/>
          <w:lang w:eastAsia="en-GB"/>
        </w:rPr>
        <w:t>the Contractor.</w:t>
      </w:r>
    </w:p>
    <w:p w14:paraId="4F95356D" w14:textId="143F5FDD" w:rsidR="004D1FD0" w:rsidRDefault="00550E46"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Under the WLERL contract, any increased haulage costs, or gate fees at alternative energy recovery centres will be borne by the Contractor</w:t>
      </w:r>
      <w:r w:rsidR="004F3365">
        <w:rPr>
          <w:rFonts w:ascii="Arial" w:hAnsi="Arial" w:cs="Arial"/>
          <w:szCs w:val="24"/>
          <w:lang w:eastAsia="en-GB"/>
        </w:rPr>
        <w:t>.</w:t>
      </w:r>
      <w:r>
        <w:rPr>
          <w:rFonts w:ascii="Arial" w:hAnsi="Arial" w:cs="Arial"/>
          <w:szCs w:val="24"/>
          <w:lang w:eastAsia="en-GB"/>
        </w:rPr>
        <w:t xml:space="preserve"> </w:t>
      </w:r>
    </w:p>
    <w:p w14:paraId="5E4D5BF4" w14:textId="0D6B98C3" w:rsidR="00DF1CB9" w:rsidRDefault="00DF1CB9"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lastRenderedPageBreak/>
        <w:t xml:space="preserve">The new rubble contract will cost the Authority 35% </w:t>
      </w:r>
      <w:r w:rsidR="002F2D0A">
        <w:rPr>
          <w:rFonts w:ascii="Arial" w:hAnsi="Arial" w:cs="Arial"/>
          <w:szCs w:val="24"/>
          <w:lang w:eastAsia="en-GB"/>
        </w:rPr>
        <w:t xml:space="preserve">(approx. £60,000 per year) </w:t>
      </w:r>
      <w:r>
        <w:rPr>
          <w:rFonts w:ascii="Arial" w:hAnsi="Arial" w:cs="Arial"/>
          <w:szCs w:val="24"/>
          <w:lang w:eastAsia="en-GB"/>
        </w:rPr>
        <w:t>less than the budgeted amount.</w:t>
      </w:r>
    </w:p>
    <w:p w14:paraId="65BF1AD6" w14:textId="09F2840D" w:rsidR="00382CDE" w:rsidRDefault="00B34AC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Please refer to the Finance Update for a summary of the current position against the budget.</w:t>
      </w:r>
      <w:r w:rsidR="00423232">
        <w:rPr>
          <w:rFonts w:ascii="Arial" w:hAnsi="Arial" w:cs="Arial"/>
          <w:szCs w:val="24"/>
          <w:lang w:eastAsia="en-GB"/>
        </w:rPr>
        <w:t xml:space="preserve">  </w:t>
      </w:r>
    </w:p>
    <w:p w14:paraId="65B6BFA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77777777" w:rsidR="0094151A"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5472A4B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4D258CD8" w14:textId="38AD1517" w:rsidR="0094151A" w:rsidRDefault="00B34AC0"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AB487D" w:rsidRPr="00AB487D">
        <w:rPr>
          <w:rFonts w:ascii="Arial" w:hAnsi="Arial" w:cs="Arial"/>
          <w:bCs/>
          <w:szCs w:val="24"/>
          <w:lang w:eastAsia="en-GB"/>
        </w:rPr>
        <w:t>.</w:t>
      </w:r>
    </w:p>
    <w:p w14:paraId="3499132F" w14:textId="36F232DE" w:rsidR="00131AC7"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0379BA">
        <w:tc>
          <w:tcPr>
            <w:tcW w:w="1163" w:type="dxa"/>
          </w:tcPr>
          <w:p w14:paraId="61D49D8A"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4ACA641" w14:textId="77777777" w:rsidR="000379BA" w:rsidRPr="007A3E6A" w:rsidRDefault="000379BA" w:rsidP="00E04143">
            <w:pPr>
              <w:spacing w:before="120" w:after="120"/>
              <w:ind w:right="113"/>
              <w:rPr>
                <w:rFonts w:ascii="Arial" w:hAnsi="Arial" w:cs="Arial"/>
                <w:i/>
                <w:szCs w:val="24"/>
              </w:rPr>
            </w:pP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53EAE53" w14:textId="77777777" w:rsidR="000379BA" w:rsidRDefault="00FC16E6"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0B2920E" w14:textId="6681B38A" w:rsidR="000379BA" w:rsidRDefault="00B064D0" w:rsidP="00244CE9">
            <w:pPr>
              <w:spacing w:before="120"/>
              <w:ind w:right="113"/>
              <w:rPr>
                <w:rFonts w:ascii="Arial" w:hAnsi="Arial"/>
              </w:rPr>
            </w:pPr>
            <w:r>
              <w:rPr>
                <w:rFonts w:ascii="Arial" w:hAnsi="Arial"/>
              </w:rPr>
              <w:t>Arron Alison</w:t>
            </w:r>
            <w:r w:rsidR="000379BA">
              <w:rPr>
                <w:rFonts w:ascii="Arial" w:hAnsi="Arial"/>
              </w:rPr>
              <w:t xml:space="preserve">, </w:t>
            </w:r>
            <w:r w:rsidR="00E71488">
              <w:rPr>
                <w:rFonts w:ascii="Arial" w:hAnsi="Arial"/>
              </w:rPr>
              <w:t>Operations Manager</w:t>
            </w:r>
            <w:r w:rsidR="000379BA">
              <w:rPr>
                <w:rFonts w:ascii="Arial" w:hAnsi="Arial"/>
              </w:rPr>
              <w:t xml:space="preserve">, </w:t>
            </w:r>
          </w:p>
          <w:p w14:paraId="5D99C5C7" w14:textId="18D1ADEC" w:rsidR="000379BA" w:rsidRPr="008F7A7C" w:rsidRDefault="00FC16E6" w:rsidP="00A63E47">
            <w:pPr>
              <w:ind w:right="113"/>
              <w:rPr>
                <w:rFonts w:ascii="Arial" w:hAnsi="Arial"/>
              </w:rPr>
            </w:pPr>
            <w:hyperlink r:id="rId9" w:history="1"/>
            <w:hyperlink r:id="rId10" w:history="1">
              <w:r w:rsidR="00B064D0" w:rsidRPr="00B064D0">
                <w:rPr>
                  <w:rStyle w:val="Hyperlink"/>
                  <w:rFonts w:ascii="Arial" w:hAnsi="Arial"/>
                </w:rPr>
                <w:t>arronalison@westlondonwaste.gov.uk</w:t>
              </w:r>
            </w:hyperlink>
            <w:r w:rsidR="007C4F10">
              <w:rPr>
                <w:rFonts w:ascii="Arial" w:hAnsi="Arial"/>
              </w:rPr>
              <w:t xml:space="preserve"> </w:t>
            </w:r>
          </w:p>
        </w:tc>
        <w:tc>
          <w:tcPr>
            <w:tcW w:w="4820" w:type="dxa"/>
          </w:tcPr>
          <w:p w14:paraId="6F4540F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4ED9B7E4" w14:textId="77777777" w:rsidR="000379BA" w:rsidRDefault="000379BA" w:rsidP="00F529F1">
            <w:pPr>
              <w:spacing w:before="120"/>
              <w:ind w:right="113"/>
              <w:rPr>
                <w:rFonts w:ascii="Arial" w:hAnsi="Arial" w:cs="Arial"/>
                <w:szCs w:val="24"/>
              </w:rPr>
            </w:pPr>
          </w:p>
          <w:p w14:paraId="11708B5C" w14:textId="77777777" w:rsidR="000379BA" w:rsidRDefault="000379BA" w:rsidP="00A63E47">
            <w:pPr>
              <w:ind w:right="113"/>
              <w:rPr>
                <w:rFonts w:ascii="Arial" w:hAnsi="Arial" w:cs="Arial"/>
                <w:szCs w:val="24"/>
              </w:rPr>
            </w:pPr>
            <w:r>
              <w:rPr>
                <w:rFonts w:ascii="Arial" w:hAnsi="Arial" w:cs="Arial"/>
                <w:szCs w:val="24"/>
              </w:rPr>
              <w:t>01895 545515</w:t>
            </w:r>
          </w:p>
        </w:tc>
      </w:tr>
    </w:tbl>
    <w:p w14:paraId="5DB00F12" w14:textId="77777777" w:rsidR="00A63A14" w:rsidRDefault="00A63A14" w:rsidP="00723044">
      <w:pPr>
        <w:rPr>
          <w:rFonts w:ascii="Arial" w:hAnsi="Arial" w:cs="Arial"/>
          <w:b/>
          <w:sz w:val="32"/>
          <w:szCs w:val="32"/>
        </w:rPr>
        <w:sectPr w:rsidR="00A63A14" w:rsidSect="00400672">
          <w:footerReference w:type="default" r:id="rId11"/>
          <w:pgSz w:w="11907" w:h="16840" w:code="9"/>
          <w:pgMar w:top="720" w:right="720" w:bottom="720" w:left="720" w:header="227" w:footer="782" w:gutter="0"/>
          <w:cols w:space="720"/>
          <w:docGrid w:linePitch="326"/>
        </w:sectPr>
      </w:pPr>
    </w:p>
    <w:p w14:paraId="4157E81F" w14:textId="1D5FA53D" w:rsidR="008D68C4" w:rsidRPr="008D68C4" w:rsidRDefault="008D68C4" w:rsidP="00723044">
      <w:pPr>
        <w:rPr>
          <w:rFonts w:ascii="Arial" w:hAnsi="Arial" w:cs="Arial"/>
          <w:b/>
          <w:sz w:val="32"/>
          <w:szCs w:val="32"/>
        </w:rPr>
      </w:pPr>
      <w:r>
        <w:rPr>
          <w:rFonts w:ascii="Arial" w:hAnsi="Arial" w:cs="Arial"/>
          <w:b/>
          <w:sz w:val="32"/>
          <w:szCs w:val="32"/>
        </w:rPr>
        <w:lastRenderedPageBreak/>
        <w:t>Appendix 1</w:t>
      </w:r>
    </w:p>
    <w:p w14:paraId="53907944" w14:textId="77777777" w:rsidR="008D68C4" w:rsidRPr="008D68C4" w:rsidRDefault="008D68C4" w:rsidP="00723044">
      <w:pPr>
        <w:rPr>
          <w:rFonts w:ascii="Arial" w:hAnsi="Arial" w:cs="Arial"/>
          <w:b/>
          <w:sz w:val="32"/>
          <w:szCs w:val="32"/>
        </w:rPr>
      </w:pPr>
    </w:p>
    <w:p w14:paraId="2EDB489A" w14:textId="38F8F190" w:rsidR="00723044" w:rsidRDefault="00723044" w:rsidP="00723044">
      <w:pPr>
        <w:rPr>
          <w:b/>
          <w:sz w:val="28"/>
          <w:szCs w:val="28"/>
        </w:rPr>
      </w:pPr>
      <w:r w:rsidRPr="00853206">
        <w:rPr>
          <w:noProof/>
          <w:lang w:eastAsia="en-GB"/>
        </w:rPr>
        <w:drawing>
          <wp:inline distT="0" distB="0" distL="0" distR="0" wp14:anchorId="41A4C7B6" wp14:editId="698E5992">
            <wp:extent cx="2568575" cy="693515"/>
            <wp:effectExtent l="0" t="0" r="0" b="0"/>
            <wp:docPr id="2" name="Picture 2" descr="C:\Users\BaylayB\AppData\Local\Microsoft\Windows\INetCache\Content.Word\wlwa-logo-coral-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layB\AppData\Local\Microsoft\Windows\INetCache\Content.Word\wlwa-logo-coral-colour-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7292" cy="698569"/>
                    </a:xfrm>
                    <a:prstGeom prst="rect">
                      <a:avLst/>
                    </a:prstGeom>
                    <a:noFill/>
                    <a:ln>
                      <a:noFill/>
                    </a:ln>
                  </pic:spPr>
                </pic:pic>
              </a:graphicData>
            </a:graphic>
          </wp:inline>
        </w:drawing>
      </w:r>
    </w:p>
    <w:tbl>
      <w:tblPr>
        <w:tblW w:w="9923" w:type="dxa"/>
        <w:tblInd w:w="-284" w:type="dxa"/>
        <w:tblLayout w:type="fixed"/>
        <w:tblLook w:val="0000" w:firstRow="0" w:lastRow="0" w:firstColumn="0" w:lastColumn="0" w:noHBand="0" w:noVBand="0"/>
      </w:tblPr>
      <w:tblGrid>
        <w:gridCol w:w="7196"/>
        <w:gridCol w:w="2727"/>
      </w:tblGrid>
      <w:tr w:rsidR="00723044" w:rsidRPr="00853206" w14:paraId="4D8180B1" w14:textId="77777777" w:rsidTr="00E5685C">
        <w:tc>
          <w:tcPr>
            <w:tcW w:w="7196" w:type="dxa"/>
          </w:tcPr>
          <w:p w14:paraId="2D7D0A06" w14:textId="77777777" w:rsidR="00723044" w:rsidRPr="008D68C4" w:rsidRDefault="00723044" w:rsidP="00E5685C">
            <w:pPr>
              <w:pStyle w:val="Heading7"/>
              <w:rPr>
                <w:rFonts w:ascii="Arial" w:hAnsi="Arial" w:cs="Arial"/>
                <w:b/>
                <w:sz w:val="28"/>
                <w:szCs w:val="28"/>
              </w:rPr>
            </w:pPr>
            <w:r w:rsidRPr="008D68C4">
              <w:rPr>
                <w:rFonts w:ascii="Arial" w:hAnsi="Arial" w:cs="Arial"/>
                <w:b/>
                <w:sz w:val="28"/>
                <w:szCs w:val="28"/>
              </w:rPr>
              <w:t>WEST LONDON WASTE AUTHORITY</w:t>
            </w:r>
          </w:p>
          <w:p w14:paraId="30F645FF" w14:textId="77777777" w:rsidR="00723044" w:rsidRPr="008D68C4" w:rsidRDefault="00723044" w:rsidP="00E5685C">
            <w:pPr>
              <w:tabs>
                <w:tab w:val="left" w:pos="462"/>
              </w:tabs>
              <w:rPr>
                <w:rFonts w:ascii="Arial" w:hAnsi="Arial" w:cs="Arial"/>
                <w:b/>
              </w:rPr>
            </w:pPr>
            <w:r w:rsidRPr="008D68C4">
              <w:rPr>
                <w:rFonts w:ascii="Arial" w:hAnsi="Arial" w:cs="Arial"/>
                <w:b/>
              </w:rPr>
              <w:t>August 2022</w:t>
            </w:r>
          </w:p>
        </w:tc>
        <w:tc>
          <w:tcPr>
            <w:tcW w:w="2727" w:type="dxa"/>
          </w:tcPr>
          <w:p w14:paraId="72E81BDA" w14:textId="77777777" w:rsidR="00723044" w:rsidRPr="008D68C4" w:rsidRDefault="00723044" w:rsidP="00E5685C">
            <w:pPr>
              <w:spacing w:after="240"/>
              <w:ind w:right="27" w:hanging="317"/>
              <w:rPr>
                <w:rFonts w:ascii="Arial" w:hAnsi="Arial" w:cs="Arial"/>
                <w:szCs w:val="24"/>
              </w:rPr>
            </w:pPr>
            <w:r w:rsidRPr="008D68C4">
              <w:rPr>
                <w:rFonts w:ascii="Arial" w:hAnsi="Arial" w:cs="Arial"/>
                <w:szCs w:val="24"/>
              </w:rPr>
              <w:t xml:space="preserve"> </w:t>
            </w:r>
          </w:p>
        </w:tc>
      </w:tr>
      <w:tr w:rsidR="00723044" w:rsidRPr="00933A45" w14:paraId="471293A5" w14:textId="77777777" w:rsidTr="00E5685C">
        <w:trPr>
          <w:cantSplit/>
        </w:trPr>
        <w:tc>
          <w:tcPr>
            <w:tcW w:w="9923" w:type="dxa"/>
            <w:gridSpan w:val="2"/>
          </w:tcPr>
          <w:p w14:paraId="7C32E1EF" w14:textId="77777777" w:rsidR="00723044" w:rsidRPr="008D68C4" w:rsidRDefault="00723044" w:rsidP="00E5685C">
            <w:pPr>
              <w:rPr>
                <w:rFonts w:ascii="Arial" w:hAnsi="Arial" w:cs="Arial"/>
                <w:b/>
                <w:sz w:val="28"/>
                <w:szCs w:val="28"/>
              </w:rPr>
            </w:pPr>
            <w:r w:rsidRPr="008D68C4">
              <w:rPr>
                <w:rFonts w:ascii="Arial" w:hAnsi="Arial" w:cs="Arial"/>
                <w:b/>
                <w:sz w:val="28"/>
                <w:szCs w:val="28"/>
              </w:rPr>
              <w:t>Procurement Award Report for Rubble, Hardcore &amp; Soil</w:t>
            </w:r>
          </w:p>
        </w:tc>
      </w:tr>
      <w:tr w:rsidR="00723044" w:rsidRPr="00853206" w14:paraId="01B6CC7F" w14:textId="77777777" w:rsidTr="008D68C4">
        <w:trPr>
          <w:cantSplit/>
          <w:trHeight w:val="1120"/>
        </w:trPr>
        <w:tc>
          <w:tcPr>
            <w:tcW w:w="9923" w:type="dxa"/>
            <w:gridSpan w:val="2"/>
            <w:tcBorders>
              <w:top w:val="single" w:sz="4" w:space="0" w:color="auto"/>
              <w:left w:val="single" w:sz="4" w:space="0" w:color="auto"/>
              <w:bottom w:val="single" w:sz="4" w:space="0" w:color="auto"/>
              <w:right w:val="single" w:sz="4" w:space="0" w:color="auto"/>
            </w:tcBorders>
          </w:tcPr>
          <w:p w14:paraId="2EB70AAB" w14:textId="77777777" w:rsidR="00723044" w:rsidRPr="00C05961" w:rsidRDefault="00723044" w:rsidP="008D68C4">
            <w:pPr>
              <w:pStyle w:val="Heading2"/>
              <w:spacing w:before="120"/>
              <w:ind w:left="889" w:hanging="317"/>
              <w:rPr>
                <w:rFonts w:asciiTheme="minorHAnsi" w:hAnsiTheme="minorHAnsi" w:cs="Arial"/>
                <w:sz w:val="28"/>
                <w:szCs w:val="28"/>
                <w:lang w:val="en-GB"/>
              </w:rPr>
            </w:pPr>
            <w:r w:rsidRPr="00C05961">
              <w:rPr>
                <w:rFonts w:asciiTheme="minorHAnsi" w:hAnsiTheme="minorHAnsi" w:cs="Arial"/>
                <w:sz w:val="28"/>
                <w:szCs w:val="28"/>
                <w:lang w:val="en-GB"/>
              </w:rPr>
              <w:t>Summary</w:t>
            </w:r>
          </w:p>
          <w:p w14:paraId="3F2100E9" w14:textId="77777777" w:rsidR="00723044" w:rsidRPr="00853206" w:rsidRDefault="00723044" w:rsidP="00E5685C">
            <w:pPr>
              <w:pStyle w:val="BodyText"/>
              <w:ind w:left="596" w:hanging="29"/>
              <w:rPr>
                <w:rFonts w:asciiTheme="minorHAnsi" w:hAnsiTheme="minorHAnsi" w:cs="Arial"/>
                <w:szCs w:val="24"/>
                <w:lang w:val="en-GB"/>
              </w:rPr>
            </w:pPr>
            <w:r w:rsidRPr="00853206">
              <w:rPr>
                <w:rFonts w:asciiTheme="minorHAnsi" w:hAnsiTheme="minorHAnsi" w:cs="Arial"/>
                <w:szCs w:val="24"/>
                <w:lang w:val="en-GB"/>
              </w:rPr>
              <w:t>This report</w:t>
            </w:r>
            <w:r>
              <w:rPr>
                <w:rFonts w:asciiTheme="minorHAnsi" w:hAnsiTheme="minorHAnsi" w:cs="Arial"/>
                <w:szCs w:val="24"/>
                <w:lang w:val="en-GB"/>
              </w:rPr>
              <w:t xml:space="preserve"> provides details of the procurement </w:t>
            </w:r>
            <w:r w:rsidRPr="00853206">
              <w:rPr>
                <w:rFonts w:asciiTheme="minorHAnsi" w:hAnsiTheme="minorHAnsi" w:cs="Arial"/>
                <w:szCs w:val="24"/>
                <w:lang w:val="en-GB"/>
              </w:rPr>
              <w:t xml:space="preserve">for the </w:t>
            </w:r>
            <w:r>
              <w:rPr>
                <w:rFonts w:asciiTheme="minorHAnsi" w:hAnsiTheme="minorHAnsi" w:cs="Arial"/>
                <w:szCs w:val="24"/>
                <w:lang w:val="en-GB"/>
              </w:rPr>
              <w:t>Processing and Disposal of Rubble, Hardcore and Soil waste contract.</w:t>
            </w:r>
          </w:p>
          <w:p w14:paraId="702CCCB9" w14:textId="77777777" w:rsidR="00723044" w:rsidRPr="00853206" w:rsidRDefault="00723044" w:rsidP="00E5685C">
            <w:pPr>
              <w:pStyle w:val="BodyText"/>
              <w:ind w:hanging="317"/>
              <w:rPr>
                <w:rFonts w:asciiTheme="minorHAnsi" w:hAnsiTheme="minorHAnsi" w:cs="Arial"/>
                <w:szCs w:val="24"/>
                <w:lang w:val="en-GB"/>
              </w:rPr>
            </w:pPr>
          </w:p>
        </w:tc>
      </w:tr>
      <w:tr w:rsidR="00723044" w:rsidRPr="00853206" w14:paraId="7E8B3D85" w14:textId="77777777" w:rsidTr="008D68C4">
        <w:trPr>
          <w:cantSplit/>
          <w:trHeight w:val="1183"/>
        </w:trPr>
        <w:tc>
          <w:tcPr>
            <w:tcW w:w="9923" w:type="dxa"/>
            <w:gridSpan w:val="2"/>
            <w:tcBorders>
              <w:top w:val="single" w:sz="4" w:space="0" w:color="auto"/>
              <w:left w:val="single" w:sz="4" w:space="0" w:color="auto"/>
              <w:bottom w:val="single" w:sz="4" w:space="0" w:color="auto"/>
              <w:right w:val="single" w:sz="4" w:space="0" w:color="auto"/>
            </w:tcBorders>
          </w:tcPr>
          <w:p w14:paraId="5CCFDE34" w14:textId="77777777" w:rsidR="00723044" w:rsidRPr="008D68C4" w:rsidRDefault="00723044" w:rsidP="008D68C4">
            <w:pPr>
              <w:pStyle w:val="Heading2"/>
              <w:spacing w:before="120"/>
              <w:ind w:left="222" w:hanging="317"/>
              <w:rPr>
                <w:rFonts w:asciiTheme="minorHAnsi" w:hAnsiTheme="minorHAnsi" w:cs="Arial"/>
                <w:sz w:val="28"/>
                <w:szCs w:val="28"/>
                <w:lang w:val="en-GB"/>
              </w:rPr>
            </w:pPr>
            <w:r>
              <w:rPr>
                <w:rFonts w:cs="Arial"/>
                <w:szCs w:val="24"/>
              </w:rPr>
              <w:t xml:space="preserve">          </w:t>
            </w:r>
            <w:r w:rsidRPr="0023795F">
              <w:rPr>
                <w:rFonts w:cs="Arial"/>
                <w:sz w:val="28"/>
                <w:szCs w:val="28"/>
              </w:rPr>
              <w:t xml:space="preserve"> </w:t>
            </w:r>
            <w:r w:rsidRPr="008D68C4">
              <w:rPr>
                <w:rFonts w:asciiTheme="minorHAnsi" w:hAnsiTheme="minorHAnsi" w:cs="Arial"/>
                <w:sz w:val="28"/>
                <w:szCs w:val="28"/>
                <w:lang w:val="en-GB"/>
              </w:rPr>
              <w:t>Awarded Supplier</w:t>
            </w:r>
          </w:p>
          <w:p w14:paraId="2D8C6855" w14:textId="77777777" w:rsidR="00723044" w:rsidRPr="00853206" w:rsidRDefault="00723044" w:rsidP="00E5685C">
            <w:pPr>
              <w:pStyle w:val="BodyText"/>
              <w:ind w:left="596" w:hanging="29"/>
              <w:rPr>
                <w:rFonts w:asciiTheme="minorHAnsi" w:hAnsiTheme="minorHAnsi" w:cs="Arial"/>
                <w:szCs w:val="24"/>
              </w:rPr>
            </w:pPr>
            <w:r w:rsidRPr="00CC6E26">
              <w:rPr>
                <w:rFonts w:asciiTheme="minorHAnsi" w:hAnsiTheme="minorHAnsi" w:cs="Arial"/>
                <w:szCs w:val="24"/>
                <w:lang w:val="en-GB"/>
              </w:rPr>
              <w:t>Quattro UK Ltd has been awarded for the provision of WLWA’s Rubble, Hardcore and Soil contract. The new contract commenced on 12 September 2022.</w:t>
            </w:r>
          </w:p>
        </w:tc>
      </w:tr>
    </w:tbl>
    <w:p w14:paraId="3EC423CF" w14:textId="77777777" w:rsidR="00723044" w:rsidRPr="00CC6E26" w:rsidRDefault="00723044" w:rsidP="00723044">
      <w:pPr>
        <w:jc w:val="both"/>
        <w:rPr>
          <w:szCs w:val="24"/>
        </w:rPr>
      </w:pPr>
    </w:p>
    <w:p w14:paraId="059E85DC" w14:textId="77777777" w:rsidR="00723044" w:rsidRPr="00016E42" w:rsidRDefault="00723044" w:rsidP="00723044">
      <w:pPr>
        <w:pStyle w:val="ListParagraph"/>
        <w:jc w:val="both"/>
        <w:rPr>
          <w:b/>
          <w:bCs/>
          <w:sz w:val="24"/>
          <w:szCs w:val="24"/>
        </w:rPr>
      </w:pPr>
      <w:r w:rsidRPr="00016E42">
        <w:rPr>
          <w:b/>
          <w:bCs/>
          <w:sz w:val="24"/>
          <w:szCs w:val="24"/>
        </w:rPr>
        <w:t>Introduction</w:t>
      </w:r>
    </w:p>
    <w:p w14:paraId="6C2A6457" w14:textId="67809B9D" w:rsidR="00723044" w:rsidRPr="00016E42" w:rsidRDefault="00723044" w:rsidP="00723044">
      <w:pPr>
        <w:pStyle w:val="ListParagraph"/>
        <w:numPr>
          <w:ilvl w:val="0"/>
          <w:numId w:val="17"/>
        </w:numPr>
        <w:spacing w:after="160" w:line="259" w:lineRule="auto"/>
        <w:jc w:val="both"/>
        <w:rPr>
          <w:sz w:val="24"/>
          <w:szCs w:val="24"/>
        </w:rPr>
      </w:pPr>
      <w:r w:rsidRPr="00016E42">
        <w:rPr>
          <w:sz w:val="24"/>
          <w:szCs w:val="24"/>
        </w:rPr>
        <w:t>WLWA ha</w:t>
      </w:r>
      <w:r>
        <w:rPr>
          <w:sz w:val="24"/>
          <w:szCs w:val="24"/>
        </w:rPr>
        <w:t>s</w:t>
      </w:r>
      <w:r w:rsidRPr="00016E42">
        <w:rPr>
          <w:sz w:val="24"/>
          <w:szCs w:val="24"/>
        </w:rPr>
        <w:t xml:space="preserve"> historically used </w:t>
      </w:r>
      <w:proofErr w:type="spellStart"/>
      <w:r w:rsidRPr="00016E42">
        <w:rPr>
          <w:sz w:val="24"/>
          <w:szCs w:val="24"/>
        </w:rPr>
        <w:t>Gowing</w:t>
      </w:r>
      <w:proofErr w:type="spellEnd"/>
      <w:r w:rsidRPr="00016E42">
        <w:rPr>
          <w:sz w:val="24"/>
          <w:szCs w:val="24"/>
        </w:rPr>
        <w:t xml:space="preserve"> and </w:t>
      </w:r>
      <w:proofErr w:type="spellStart"/>
      <w:r w:rsidRPr="00016E42">
        <w:rPr>
          <w:sz w:val="24"/>
          <w:szCs w:val="24"/>
        </w:rPr>
        <w:t>Pursey</w:t>
      </w:r>
      <w:proofErr w:type="spellEnd"/>
      <w:r w:rsidRPr="00016E42">
        <w:rPr>
          <w:sz w:val="24"/>
          <w:szCs w:val="24"/>
        </w:rPr>
        <w:t xml:space="preserve"> as an </w:t>
      </w:r>
      <w:r w:rsidR="008D68C4">
        <w:rPr>
          <w:sz w:val="24"/>
          <w:szCs w:val="24"/>
        </w:rPr>
        <w:t>off taker</w:t>
      </w:r>
      <w:r w:rsidRPr="00016E42">
        <w:rPr>
          <w:sz w:val="24"/>
          <w:szCs w:val="24"/>
        </w:rPr>
        <w:t xml:space="preserve"> but a few months ago this supplier ran into financial difficulty and could no longer take this material. </w:t>
      </w:r>
    </w:p>
    <w:p w14:paraId="31584E00" w14:textId="6529524F" w:rsidR="00723044" w:rsidRDefault="00723044" w:rsidP="00723044">
      <w:pPr>
        <w:pStyle w:val="ListParagraph"/>
        <w:numPr>
          <w:ilvl w:val="0"/>
          <w:numId w:val="17"/>
        </w:numPr>
        <w:spacing w:after="160" w:line="259" w:lineRule="auto"/>
        <w:jc w:val="both"/>
        <w:rPr>
          <w:sz w:val="24"/>
          <w:szCs w:val="24"/>
        </w:rPr>
      </w:pPr>
      <w:proofErr w:type="gramStart"/>
      <w:r w:rsidRPr="00016E42">
        <w:rPr>
          <w:sz w:val="24"/>
          <w:szCs w:val="24"/>
        </w:rPr>
        <w:t>O’Donovan,</w:t>
      </w:r>
      <w:proofErr w:type="gramEnd"/>
      <w:r w:rsidRPr="00016E42">
        <w:rPr>
          <w:sz w:val="24"/>
          <w:szCs w:val="24"/>
        </w:rPr>
        <w:t xml:space="preserve"> has been sourced as a temporary </w:t>
      </w:r>
      <w:r w:rsidR="008D68C4">
        <w:rPr>
          <w:sz w:val="24"/>
          <w:szCs w:val="24"/>
        </w:rPr>
        <w:t>off taker</w:t>
      </w:r>
      <w:r w:rsidRPr="00016E42">
        <w:rPr>
          <w:sz w:val="24"/>
          <w:szCs w:val="24"/>
        </w:rPr>
        <w:t>. Without a formal arrangement in place, prices have been fluctuating monthly</w:t>
      </w:r>
      <w:r>
        <w:rPr>
          <w:sz w:val="24"/>
          <w:szCs w:val="24"/>
        </w:rPr>
        <w:t>.</w:t>
      </w:r>
    </w:p>
    <w:p w14:paraId="23B51B29" w14:textId="77777777" w:rsidR="00723044" w:rsidRPr="00AE007A" w:rsidRDefault="00723044" w:rsidP="00723044">
      <w:pPr>
        <w:pStyle w:val="ListParagraph"/>
        <w:numPr>
          <w:ilvl w:val="0"/>
          <w:numId w:val="17"/>
        </w:numPr>
        <w:spacing w:after="160" w:line="259" w:lineRule="auto"/>
        <w:jc w:val="both"/>
        <w:rPr>
          <w:sz w:val="24"/>
          <w:szCs w:val="24"/>
        </w:rPr>
      </w:pPr>
      <w:r>
        <w:rPr>
          <w:sz w:val="24"/>
          <w:szCs w:val="24"/>
        </w:rPr>
        <w:t>The procurement for</w:t>
      </w:r>
      <w:r w:rsidRPr="001D3984">
        <w:rPr>
          <w:sz w:val="24"/>
          <w:szCs w:val="24"/>
        </w:rPr>
        <w:t xml:space="preserve"> a new Rubble, Hardcore and Soil supp</w:t>
      </w:r>
      <w:r>
        <w:rPr>
          <w:sz w:val="24"/>
          <w:szCs w:val="24"/>
        </w:rPr>
        <w:t xml:space="preserve">lier was </w:t>
      </w:r>
      <w:proofErr w:type="gramStart"/>
      <w:r>
        <w:rPr>
          <w:sz w:val="24"/>
          <w:szCs w:val="24"/>
        </w:rPr>
        <w:t>prioritised</w:t>
      </w:r>
      <w:proofErr w:type="gramEnd"/>
      <w:r w:rsidRPr="001D3984">
        <w:rPr>
          <w:sz w:val="24"/>
          <w:szCs w:val="24"/>
        </w:rPr>
        <w:t xml:space="preserve"> and </w:t>
      </w:r>
      <w:r>
        <w:rPr>
          <w:sz w:val="24"/>
          <w:szCs w:val="24"/>
        </w:rPr>
        <w:t>four</w:t>
      </w:r>
      <w:r w:rsidRPr="00016E42">
        <w:rPr>
          <w:sz w:val="24"/>
          <w:szCs w:val="24"/>
        </w:rPr>
        <w:t xml:space="preserve"> suppliers </w:t>
      </w:r>
      <w:r>
        <w:rPr>
          <w:sz w:val="24"/>
          <w:szCs w:val="24"/>
        </w:rPr>
        <w:t>were approved to be evaluated.</w:t>
      </w:r>
    </w:p>
    <w:p w14:paraId="75DFC078" w14:textId="77777777" w:rsidR="00723044" w:rsidRPr="00AE007A" w:rsidRDefault="00723044" w:rsidP="00723044">
      <w:pPr>
        <w:pStyle w:val="ListParagraph"/>
        <w:jc w:val="both"/>
        <w:rPr>
          <w:sz w:val="24"/>
          <w:szCs w:val="24"/>
        </w:rPr>
      </w:pPr>
    </w:p>
    <w:p w14:paraId="23E7ADDD" w14:textId="77777777" w:rsidR="00723044" w:rsidRPr="00016E42" w:rsidRDefault="00723044" w:rsidP="00723044">
      <w:pPr>
        <w:pStyle w:val="ListParagraph"/>
        <w:jc w:val="both"/>
        <w:rPr>
          <w:b/>
          <w:bCs/>
          <w:sz w:val="24"/>
          <w:szCs w:val="24"/>
        </w:rPr>
      </w:pPr>
      <w:r w:rsidRPr="00016E42">
        <w:rPr>
          <w:b/>
          <w:bCs/>
          <w:sz w:val="24"/>
          <w:szCs w:val="24"/>
        </w:rPr>
        <w:t>Contract Scope</w:t>
      </w:r>
    </w:p>
    <w:p w14:paraId="167A8C42" w14:textId="3F45377B" w:rsidR="00723044" w:rsidRPr="00016E42" w:rsidRDefault="00723044" w:rsidP="008D68C4">
      <w:pPr>
        <w:pStyle w:val="ListParagraph"/>
        <w:numPr>
          <w:ilvl w:val="0"/>
          <w:numId w:val="17"/>
        </w:numPr>
        <w:spacing w:after="160" w:line="259" w:lineRule="auto"/>
        <w:jc w:val="both"/>
        <w:rPr>
          <w:sz w:val="24"/>
          <w:szCs w:val="24"/>
        </w:rPr>
      </w:pPr>
      <w:r w:rsidRPr="00016E42">
        <w:rPr>
          <w:sz w:val="24"/>
          <w:szCs w:val="24"/>
        </w:rPr>
        <w:t xml:space="preserve">The material will be transported via </w:t>
      </w:r>
      <w:proofErr w:type="spellStart"/>
      <w:r w:rsidRPr="00016E42">
        <w:rPr>
          <w:sz w:val="24"/>
          <w:szCs w:val="24"/>
        </w:rPr>
        <w:t>RoRo</w:t>
      </w:r>
      <w:proofErr w:type="spellEnd"/>
      <w:r w:rsidRPr="00016E42">
        <w:rPr>
          <w:sz w:val="24"/>
          <w:szCs w:val="24"/>
        </w:rPr>
        <w:t xml:space="preserve"> under the haulage Lot 2 </w:t>
      </w:r>
      <w:r>
        <w:rPr>
          <w:sz w:val="24"/>
          <w:szCs w:val="24"/>
        </w:rPr>
        <w:t>(</w:t>
      </w:r>
      <w:r w:rsidRPr="00016E42">
        <w:rPr>
          <w:sz w:val="24"/>
          <w:szCs w:val="24"/>
        </w:rPr>
        <w:t>Suez</w:t>
      </w:r>
      <w:r>
        <w:rPr>
          <w:sz w:val="24"/>
          <w:szCs w:val="24"/>
        </w:rPr>
        <w:t>)</w:t>
      </w:r>
      <w:r w:rsidRPr="00016E42">
        <w:rPr>
          <w:sz w:val="24"/>
          <w:szCs w:val="24"/>
        </w:rPr>
        <w:t xml:space="preserve"> contract to the </w:t>
      </w:r>
      <w:proofErr w:type="gramStart"/>
      <w:r w:rsidR="008D68C4">
        <w:rPr>
          <w:sz w:val="24"/>
          <w:szCs w:val="24"/>
        </w:rPr>
        <w:t>off taker</w:t>
      </w:r>
      <w:r w:rsidRPr="00016E42">
        <w:rPr>
          <w:sz w:val="24"/>
          <w:szCs w:val="24"/>
        </w:rPr>
        <w:t>’s</w:t>
      </w:r>
      <w:proofErr w:type="gramEnd"/>
      <w:r w:rsidRPr="00016E42">
        <w:rPr>
          <w:sz w:val="24"/>
          <w:szCs w:val="24"/>
        </w:rPr>
        <w:t xml:space="preserve"> facility.</w:t>
      </w:r>
    </w:p>
    <w:p w14:paraId="76636AC2" w14:textId="77777777" w:rsidR="00723044" w:rsidRDefault="00723044" w:rsidP="008D68C4">
      <w:pPr>
        <w:pStyle w:val="ListParagraph"/>
        <w:numPr>
          <w:ilvl w:val="0"/>
          <w:numId w:val="17"/>
        </w:numPr>
        <w:spacing w:after="160" w:line="259" w:lineRule="auto"/>
        <w:jc w:val="both"/>
        <w:rPr>
          <w:sz w:val="24"/>
          <w:szCs w:val="24"/>
        </w:rPr>
      </w:pPr>
      <w:r w:rsidRPr="00CC6E26">
        <w:rPr>
          <w:sz w:val="24"/>
          <w:szCs w:val="24"/>
        </w:rPr>
        <w:t>Contract duration is for a maximum of 1 year in total (with an option to extend for a further year), starting 12 September 2022.</w:t>
      </w:r>
    </w:p>
    <w:p w14:paraId="5F0389D0" w14:textId="77777777" w:rsidR="00723044" w:rsidRPr="00CC6E26" w:rsidRDefault="00723044" w:rsidP="00723044">
      <w:pPr>
        <w:ind w:left="720"/>
        <w:jc w:val="both"/>
        <w:rPr>
          <w:szCs w:val="24"/>
        </w:rPr>
      </w:pPr>
    </w:p>
    <w:p w14:paraId="25CADBC9" w14:textId="77777777" w:rsidR="00723044" w:rsidRPr="008D68C4" w:rsidRDefault="00723044" w:rsidP="008D68C4">
      <w:pPr>
        <w:pStyle w:val="ListParagraph"/>
        <w:jc w:val="both"/>
        <w:rPr>
          <w:b/>
          <w:bCs/>
          <w:sz w:val="24"/>
          <w:szCs w:val="24"/>
        </w:rPr>
      </w:pPr>
      <w:r w:rsidRPr="008D68C4">
        <w:rPr>
          <w:b/>
          <w:bCs/>
          <w:sz w:val="24"/>
          <w:szCs w:val="24"/>
        </w:rPr>
        <w:t>Evaluation</w:t>
      </w:r>
    </w:p>
    <w:p w14:paraId="725E8515" w14:textId="043CA5CF" w:rsidR="00723044" w:rsidRPr="00016E42" w:rsidRDefault="00723044" w:rsidP="00723044">
      <w:pPr>
        <w:pStyle w:val="ListParagraph"/>
        <w:contextualSpacing w:val="0"/>
        <w:jc w:val="both"/>
        <w:rPr>
          <w:sz w:val="24"/>
          <w:szCs w:val="24"/>
        </w:rPr>
      </w:pPr>
      <w:r>
        <w:rPr>
          <w:sz w:val="24"/>
          <w:szCs w:val="24"/>
        </w:rPr>
        <w:t>The four</w:t>
      </w:r>
      <w:r w:rsidRPr="00016E42">
        <w:rPr>
          <w:sz w:val="24"/>
          <w:szCs w:val="24"/>
        </w:rPr>
        <w:t xml:space="preserve"> bid</w:t>
      </w:r>
      <w:r>
        <w:rPr>
          <w:sz w:val="24"/>
          <w:szCs w:val="24"/>
        </w:rPr>
        <w:t>der</w:t>
      </w:r>
      <w:r w:rsidRPr="00016E42">
        <w:rPr>
          <w:sz w:val="24"/>
          <w:szCs w:val="24"/>
        </w:rPr>
        <w:t xml:space="preserve">s </w:t>
      </w:r>
      <w:r>
        <w:rPr>
          <w:sz w:val="24"/>
          <w:szCs w:val="24"/>
        </w:rPr>
        <w:t>varied</w:t>
      </w:r>
      <w:r w:rsidRPr="00016E42">
        <w:rPr>
          <w:sz w:val="24"/>
          <w:szCs w:val="24"/>
        </w:rPr>
        <w:t xml:space="preserve"> in terms of quality, understanding of WLWA requirements, skills, </w:t>
      </w:r>
      <w:proofErr w:type="gramStart"/>
      <w:r w:rsidRPr="00016E42">
        <w:rPr>
          <w:sz w:val="24"/>
          <w:szCs w:val="24"/>
        </w:rPr>
        <w:t>experience</w:t>
      </w:r>
      <w:proofErr w:type="gramEnd"/>
      <w:r w:rsidRPr="00016E42">
        <w:rPr>
          <w:sz w:val="24"/>
          <w:szCs w:val="24"/>
        </w:rPr>
        <w:t xml:space="preserve"> and cost. They were analysed based on 70% pricing and 30% quality scoring. </w:t>
      </w:r>
      <w:r>
        <w:rPr>
          <w:sz w:val="24"/>
          <w:szCs w:val="24"/>
        </w:rPr>
        <w:t>Supplier B (</w:t>
      </w:r>
      <w:r w:rsidRPr="00016E42">
        <w:rPr>
          <w:sz w:val="24"/>
          <w:szCs w:val="24"/>
        </w:rPr>
        <w:t>Quattro UK Ltd</w:t>
      </w:r>
      <w:r>
        <w:rPr>
          <w:sz w:val="24"/>
          <w:szCs w:val="24"/>
        </w:rPr>
        <w:t>)</w:t>
      </w:r>
      <w:r w:rsidRPr="00016E42">
        <w:rPr>
          <w:sz w:val="24"/>
          <w:szCs w:val="24"/>
        </w:rPr>
        <w:t xml:space="preserve"> </w:t>
      </w:r>
      <w:r>
        <w:rPr>
          <w:sz w:val="24"/>
          <w:szCs w:val="24"/>
        </w:rPr>
        <w:t xml:space="preserve">scored </w:t>
      </w:r>
      <w:r w:rsidRPr="00016E42">
        <w:rPr>
          <w:sz w:val="24"/>
          <w:szCs w:val="24"/>
        </w:rPr>
        <w:t xml:space="preserve">highest overall and won the evaluation (see summary below): </w:t>
      </w:r>
    </w:p>
    <w:tbl>
      <w:tblPr>
        <w:tblW w:w="10042" w:type="dxa"/>
        <w:tblInd w:w="562" w:type="dxa"/>
        <w:tblLook w:val="04A0" w:firstRow="1" w:lastRow="0" w:firstColumn="1" w:lastColumn="0" w:noHBand="0" w:noVBand="1"/>
      </w:tblPr>
      <w:tblGrid>
        <w:gridCol w:w="2416"/>
        <w:gridCol w:w="1898"/>
        <w:gridCol w:w="1912"/>
        <w:gridCol w:w="1898"/>
        <w:gridCol w:w="1918"/>
      </w:tblGrid>
      <w:tr w:rsidR="00723044" w:rsidRPr="00194B96" w14:paraId="3C790B44" w14:textId="77777777" w:rsidTr="008D68C4">
        <w:trPr>
          <w:trHeight w:val="481"/>
        </w:trPr>
        <w:tc>
          <w:tcPr>
            <w:tcW w:w="2416" w:type="dxa"/>
            <w:tcBorders>
              <w:top w:val="single" w:sz="4" w:space="0" w:color="auto"/>
              <w:left w:val="single" w:sz="4" w:space="0" w:color="auto"/>
              <w:bottom w:val="nil"/>
              <w:right w:val="nil"/>
            </w:tcBorders>
            <w:shd w:val="clear" w:color="000000" w:fill="FFFFFF"/>
            <w:noWrap/>
            <w:vAlign w:val="center"/>
            <w:hideMark/>
          </w:tcPr>
          <w:p w14:paraId="2F247961" w14:textId="77777777" w:rsidR="00723044" w:rsidRPr="00016E42" w:rsidRDefault="00723044" w:rsidP="00E5685C">
            <w:pPr>
              <w:rPr>
                <w:rFonts w:ascii="Calibri" w:hAnsi="Calibri"/>
                <w:b/>
                <w:bCs/>
                <w:color w:val="000000"/>
                <w:szCs w:val="24"/>
                <w:u w:val="single"/>
                <w:lang w:eastAsia="en-GB"/>
              </w:rPr>
            </w:pPr>
            <w:r w:rsidRPr="00016E42">
              <w:rPr>
                <w:rFonts w:ascii="Calibri" w:hAnsi="Calibri"/>
                <w:b/>
                <w:bCs/>
                <w:color w:val="000000"/>
                <w:szCs w:val="24"/>
                <w:u w:val="single"/>
                <w:lang w:eastAsia="en-GB"/>
              </w:rPr>
              <w:t>Overall Summary</w:t>
            </w:r>
          </w:p>
        </w:tc>
        <w:tc>
          <w:tcPr>
            <w:tcW w:w="7626" w:type="dxa"/>
            <w:gridSpan w:val="4"/>
            <w:tcBorders>
              <w:top w:val="single" w:sz="4" w:space="0" w:color="auto"/>
              <w:left w:val="nil"/>
              <w:bottom w:val="single" w:sz="4" w:space="0" w:color="auto"/>
              <w:right w:val="single" w:sz="4" w:space="0" w:color="000000"/>
            </w:tcBorders>
            <w:shd w:val="clear" w:color="000000" w:fill="FFFFFF"/>
            <w:noWrap/>
            <w:vAlign w:val="center"/>
          </w:tcPr>
          <w:p w14:paraId="255156BB" w14:textId="77777777" w:rsidR="00723044" w:rsidRPr="00194B96" w:rsidRDefault="00723044" w:rsidP="00E5685C">
            <w:pPr>
              <w:jc w:val="center"/>
              <w:rPr>
                <w:rFonts w:ascii="Calibri" w:hAnsi="Calibri"/>
                <w:b/>
                <w:bCs/>
                <w:color w:val="000000"/>
                <w:szCs w:val="24"/>
                <w:lang w:eastAsia="en-GB"/>
              </w:rPr>
            </w:pPr>
          </w:p>
        </w:tc>
      </w:tr>
      <w:tr w:rsidR="00723044" w:rsidRPr="00016E42" w14:paraId="7AB06A6E" w14:textId="77777777" w:rsidTr="008D68C4">
        <w:trPr>
          <w:trHeight w:val="501"/>
        </w:trPr>
        <w:tc>
          <w:tcPr>
            <w:tcW w:w="2416"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AB2068C" w14:textId="77777777" w:rsidR="00723044" w:rsidRPr="00194B96" w:rsidRDefault="00723044" w:rsidP="00E5685C">
            <w:pPr>
              <w:rPr>
                <w:rFonts w:ascii="Calibri" w:hAnsi="Calibri"/>
                <w:b/>
                <w:bCs/>
                <w:color w:val="000000"/>
                <w:szCs w:val="24"/>
                <w:lang w:eastAsia="en-GB"/>
              </w:rPr>
            </w:pPr>
          </w:p>
        </w:tc>
        <w:tc>
          <w:tcPr>
            <w:tcW w:w="1898" w:type="dxa"/>
            <w:tcBorders>
              <w:top w:val="nil"/>
              <w:left w:val="nil"/>
              <w:bottom w:val="single" w:sz="4" w:space="0" w:color="auto"/>
              <w:right w:val="single" w:sz="4" w:space="0" w:color="auto"/>
            </w:tcBorders>
            <w:shd w:val="clear" w:color="000000" w:fill="70AD47"/>
            <w:vAlign w:val="center"/>
            <w:hideMark/>
          </w:tcPr>
          <w:p w14:paraId="6AB1F057" w14:textId="77777777" w:rsidR="00723044" w:rsidRPr="00194B96" w:rsidRDefault="00723044" w:rsidP="00E5685C">
            <w:pPr>
              <w:jc w:val="center"/>
              <w:rPr>
                <w:rFonts w:ascii="Calibri" w:hAnsi="Calibri"/>
                <w:b/>
                <w:bCs/>
                <w:color w:val="000000"/>
                <w:szCs w:val="24"/>
                <w:lang w:eastAsia="en-GB"/>
              </w:rPr>
            </w:pPr>
            <w:r>
              <w:rPr>
                <w:rFonts w:ascii="Calibri" w:hAnsi="Calibri"/>
                <w:b/>
                <w:bCs/>
                <w:color w:val="000000"/>
                <w:szCs w:val="24"/>
                <w:lang w:eastAsia="en-GB"/>
              </w:rPr>
              <w:t>Supplier A</w:t>
            </w:r>
          </w:p>
        </w:tc>
        <w:tc>
          <w:tcPr>
            <w:tcW w:w="1912" w:type="dxa"/>
            <w:tcBorders>
              <w:top w:val="nil"/>
              <w:left w:val="nil"/>
              <w:bottom w:val="single" w:sz="4" w:space="0" w:color="auto"/>
              <w:right w:val="single" w:sz="4" w:space="0" w:color="auto"/>
            </w:tcBorders>
            <w:shd w:val="clear" w:color="000000" w:fill="70AD47"/>
            <w:vAlign w:val="center"/>
            <w:hideMark/>
          </w:tcPr>
          <w:p w14:paraId="475E1E62" w14:textId="77777777" w:rsidR="00723044" w:rsidRPr="00194B96" w:rsidRDefault="00723044" w:rsidP="00E5685C">
            <w:pPr>
              <w:jc w:val="center"/>
              <w:rPr>
                <w:rFonts w:ascii="Calibri" w:hAnsi="Calibri"/>
                <w:b/>
                <w:bCs/>
                <w:color w:val="000000"/>
                <w:szCs w:val="24"/>
                <w:lang w:eastAsia="en-GB"/>
              </w:rPr>
            </w:pPr>
            <w:r>
              <w:rPr>
                <w:rFonts w:ascii="Calibri" w:hAnsi="Calibri"/>
                <w:b/>
                <w:bCs/>
                <w:color w:val="000000"/>
                <w:szCs w:val="24"/>
                <w:lang w:eastAsia="en-GB"/>
              </w:rPr>
              <w:t>Supplier B</w:t>
            </w:r>
          </w:p>
        </w:tc>
        <w:tc>
          <w:tcPr>
            <w:tcW w:w="1898" w:type="dxa"/>
            <w:tcBorders>
              <w:top w:val="nil"/>
              <w:left w:val="nil"/>
              <w:bottom w:val="single" w:sz="4" w:space="0" w:color="auto"/>
              <w:right w:val="single" w:sz="4" w:space="0" w:color="auto"/>
            </w:tcBorders>
            <w:shd w:val="clear" w:color="000000" w:fill="70AD47"/>
            <w:vAlign w:val="center"/>
            <w:hideMark/>
          </w:tcPr>
          <w:p w14:paraId="00C07B35" w14:textId="77777777" w:rsidR="00723044" w:rsidRPr="00194B96" w:rsidRDefault="00723044" w:rsidP="00E5685C">
            <w:pPr>
              <w:jc w:val="center"/>
              <w:rPr>
                <w:rFonts w:ascii="Calibri" w:hAnsi="Calibri"/>
                <w:b/>
                <w:bCs/>
                <w:color w:val="000000"/>
                <w:szCs w:val="24"/>
                <w:lang w:eastAsia="en-GB"/>
              </w:rPr>
            </w:pPr>
            <w:r>
              <w:rPr>
                <w:rFonts w:ascii="Calibri" w:hAnsi="Calibri"/>
                <w:b/>
                <w:bCs/>
                <w:color w:val="000000"/>
                <w:szCs w:val="24"/>
                <w:lang w:eastAsia="en-GB"/>
              </w:rPr>
              <w:t>Supplier C</w:t>
            </w:r>
          </w:p>
        </w:tc>
        <w:tc>
          <w:tcPr>
            <w:tcW w:w="1918" w:type="dxa"/>
            <w:tcBorders>
              <w:top w:val="nil"/>
              <w:left w:val="nil"/>
              <w:bottom w:val="single" w:sz="4" w:space="0" w:color="auto"/>
              <w:right w:val="single" w:sz="4" w:space="0" w:color="auto"/>
            </w:tcBorders>
            <w:shd w:val="clear" w:color="000000" w:fill="70AD47"/>
            <w:vAlign w:val="center"/>
            <w:hideMark/>
          </w:tcPr>
          <w:p w14:paraId="73435F6A" w14:textId="77777777" w:rsidR="00723044" w:rsidRPr="00194B96" w:rsidRDefault="00723044" w:rsidP="00E5685C">
            <w:pPr>
              <w:jc w:val="center"/>
              <w:rPr>
                <w:rFonts w:ascii="Calibri" w:hAnsi="Calibri"/>
                <w:b/>
                <w:bCs/>
                <w:color w:val="000000"/>
                <w:szCs w:val="24"/>
                <w:lang w:eastAsia="en-GB"/>
              </w:rPr>
            </w:pPr>
            <w:r>
              <w:rPr>
                <w:rFonts w:ascii="Calibri" w:hAnsi="Calibri"/>
                <w:b/>
                <w:bCs/>
                <w:color w:val="000000"/>
                <w:szCs w:val="24"/>
                <w:lang w:eastAsia="en-GB"/>
              </w:rPr>
              <w:t>Supplier D</w:t>
            </w:r>
          </w:p>
        </w:tc>
      </w:tr>
      <w:tr w:rsidR="00723044" w:rsidRPr="00194B96" w14:paraId="140C0BA5" w14:textId="77777777" w:rsidTr="008D68C4">
        <w:trPr>
          <w:trHeight w:val="436"/>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5CEFEC2E" w14:textId="77777777" w:rsidR="00723044" w:rsidRPr="0085011D" w:rsidRDefault="00723044" w:rsidP="00E5685C">
            <w:pPr>
              <w:jc w:val="center"/>
              <w:rPr>
                <w:rFonts w:ascii="Calibri" w:hAnsi="Calibri"/>
                <w:color w:val="000000"/>
                <w:szCs w:val="24"/>
                <w:lang w:eastAsia="en-GB"/>
              </w:rPr>
            </w:pPr>
            <w:r w:rsidRPr="00194B96">
              <w:rPr>
                <w:rFonts w:ascii="Calibri" w:hAnsi="Calibri"/>
                <w:b/>
                <w:bCs/>
                <w:color w:val="000000"/>
                <w:szCs w:val="24"/>
                <w:lang w:eastAsia="en-GB"/>
              </w:rPr>
              <w:t>Pricing Score</w:t>
            </w:r>
          </w:p>
        </w:tc>
        <w:tc>
          <w:tcPr>
            <w:tcW w:w="1898" w:type="dxa"/>
            <w:tcBorders>
              <w:top w:val="nil"/>
              <w:left w:val="nil"/>
              <w:bottom w:val="single" w:sz="4" w:space="0" w:color="auto"/>
              <w:right w:val="single" w:sz="4" w:space="0" w:color="auto"/>
            </w:tcBorders>
            <w:shd w:val="clear" w:color="auto" w:fill="auto"/>
            <w:noWrap/>
            <w:vAlign w:val="bottom"/>
          </w:tcPr>
          <w:p w14:paraId="7B44820A"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41.30%</w:t>
            </w:r>
          </w:p>
        </w:tc>
        <w:tc>
          <w:tcPr>
            <w:tcW w:w="1912" w:type="dxa"/>
            <w:tcBorders>
              <w:top w:val="nil"/>
              <w:left w:val="nil"/>
              <w:bottom w:val="single" w:sz="4" w:space="0" w:color="auto"/>
              <w:right w:val="single" w:sz="4" w:space="0" w:color="auto"/>
            </w:tcBorders>
            <w:shd w:val="clear" w:color="000000" w:fill="FFC000"/>
            <w:noWrap/>
            <w:vAlign w:val="bottom"/>
          </w:tcPr>
          <w:p w14:paraId="0E3DB7F7"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70.00%</w:t>
            </w:r>
          </w:p>
        </w:tc>
        <w:tc>
          <w:tcPr>
            <w:tcW w:w="1898" w:type="dxa"/>
            <w:tcBorders>
              <w:top w:val="nil"/>
              <w:left w:val="nil"/>
              <w:bottom w:val="single" w:sz="4" w:space="0" w:color="auto"/>
              <w:right w:val="single" w:sz="4" w:space="0" w:color="auto"/>
            </w:tcBorders>
            <w:shd w:val="clear" w:color="auto" w:fill="auto"/>
            <w:noWrap/>
            <w:vAlign w:val="bottom"/>
          </w:tcPr>
          <w:p w14:paraId="70C73BCB"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37.55%</w:t>
            </w:r>
          </w:p>
        </w:tc>
        <w:tc>
          <w:tcPr>
            <w:tcW w:w="1918" w:type="dxa"/>
            <w:tcBorders>
              <w:top w:val="nil"/>
              <w:left w:val="nil"/>
              <w:bottom w:val="single" w:sz="4" w:space="0" w:color="auto"/>
              <w:right w:val="single" w:sz="4" w:space="0" w:color="auto"/>
            </w:tcBorders>
            <w:shd w:val="clear" w:color="auto" w:fill="auto"/>
            <w:noWrap/>
            <w:vAlign w:val="bottom"/>
          </w:tcPr>
          <w:p w14:paraId="264DDC60"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54.21%</w:t>
            </w:r>
          </w:p>
        </w:tc>
      </w:tr>
      <w:tr w:rsidR="00723044" w:rsidRPr="00194B96" w14:paraId="71B77656" w14:textId="77777777" w:rsidTr="008D68C4">
        <w:trPr>
          <w:trHeight w:val="436"/>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2D277855" w14:textId="77777777" w:rsidR="00723044" w:rsidRPr="0085011D" w:rsidRDefault="00723044" w:rsidP="00E5685C">
            <w:pPr>
              <w:jc w:val="center"/>
              <w:rPr>
                <w:rFonts w:ascii="Calibri" w:hAnsi="Calibri"/>
                <w:color w:val="000000"/>
                <w:szCs w:val="24"/>
                <w:lang w:eastAsia="en-GB"/>
              </w:rPr>
            </w:pPr>
            <w:r w:rsidRPr="00194B96">
              <w:rPr>
                <w:rFonts w:ascii="Calibri" w:hAnsi="Calibri"/>
                <w:b/>
                <w:bCs/>
                <w:color w:val="000000"/>
                <w:szCs w:val="24"/>
                <w:lang w:eastAsia="en-GB"/>
              </w:rPr>
              <w:t>Weighted Quality Score</w:t>
            </w:r>
          </w:p>
        </w:tc>
        <w:tc>
          <w:tcPr>
            <w:tcW w:w="1898" w:type="dxa"/>
            <w:tcBorders>
              <w:top w:val="nil"/>
              <w:left w:val="nil"/>
              <w:bottom w:val="single" w:sz="4" w:space="0" w:color="auto"/>
              <w:right w:val="single" w:sz="4" w:space="0" w:color="auto"/>
            </w:tcBorders>
            <w:shd w:val="clear" w:color="auto" w:fill="auto"/>
            <w:noWrap/>
            <w:vAlign w:val="bottom"/>
          </w:tcPr>
          <w:p w14:paraId="5E4021FB"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15.0%</w:t>
            </w:r>
          </w:p>
        </w:tc>
        <w:tc>
          <w:tcPr>
            <w:tcW w:w="1912" w:type="dxa"/>
            <w:tcBorders>
              <w:top w:val="nil"/>
              <w:left w:val="nil"/>
              <w:bottom w:val="single" w:sz="4" w:space="0" w:color="auto"/>
              <w:right w:val="single" w:sz="4" w:space="0" w:color="auto"/>
            </w:tcBorders>
            <w:shd w:val="clear" w:color="000000" w:fill="FFC000"/>
            <w:noWrap/>
            <w:vAlign w:val="bottom"/>
          </w:tcPr>
          <w:p w14:paraId="5D647080"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15.0%</w:t>
            </w:r>
          </w:p>
        </w:tc>
        <w:tc>
          <w:tcPr>
            <w:tcW w:w="1898" w:type="dxa"/>
            <w:tcBorders>
              <w:top w:val="nil"/>
              <w:left w:val="nil"/>
              <w:bottom w:val="single" w:sz="4" w:space="0" w:color="auto"/>
              <w:right w:val="single" w:sz="4" w:space="0" w:color="auto"/>
            </w:tcBorders>
            <w:shd w:val="clear" w:color="auto" w:fill="auto"/>
            <w:noWrap/>
            <w:vAlign w:val="bottom"/>
          </w:tcPr>
          <w:p w14:paraId="713CC1ED"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12.0%</w:t>
            </w:r>
          </w:p>
        </w:tc>
        <w:tc>
          <w:tcPr>
            <w:tcW w:w="1918" w:type="dxa"/>
            <w:tcBorders>
              <w:top w:val="nil"/>
              <w:left w:val="nil"/>
              <w:bottom w:val="single" w:sz="4" w:space="0" w:color="auto"/>
              <w:right w:val="single" w:sz="4" w:space="0" w:color="auto"/>
            </w:tcBorders>
            <w:shd w:val="clear" w:color="auto" w:fill="auto"/>
            <w:noWrap/>
            <w:vAlign w:val="bottom"/>
          </w:tcPr>
          <w:p w14:paraId="42E8A2B9" w14:textId="77777777" w:rsidR="00723044" w:rsidRPr="0085011D" w:rsidRDefault="00723044" w:rsidP="00E5685C">
            <w:pPr>
              <w:jc w:val="center"/>
              <w:rPr>
                <w:rFonts w:ascii="Calibri" w:hAnsi="Calibri"/>
                <w:color w:val="000000"/>
                <w:szCs w:val="24"/>
                <w:lang w:eastAsia="en-GB"/>
              </w:rPr>
            </w:pPr>
            <w:r w:rsidRPr="00194B96">
              <w:rPr>
                <w:rFonts w:ascii="Calibri" w:hAnsi="Calibri"/>
                <w:color w:val="000000"/>
                <w:szCs w:val="24"/>
                <w:lang w:eastAsia="en-GB"/>
              </w:rPr>
              <w:t>24.0%</w:t>
            </w:r>
          </w:p>
        </w:tc>
      </w:tr>
      <w:tr w:rsidR="00723044" w:rsidRPr="00194B96" w14:paraId="31E1304F" w14:textId="77777777" w:rsidTr="008D68C4">
        <w:trPr>
          <w:trHeight w:val="436"/>
        </w:trPr>
        <w:tc>
          <w:tcPr>
            <w:tcW w:w="2416" w:type="dxa"/>
            <w:tcBorders>
              <w:top w:val="nil"/>
              <w:left w:val="single" w:sz="4" w:space="0" w:color="auto"/>
              <w:bottom w:val="single" w:sz="4" w:space="0" w:color="auto"/>
              <w:right w:val="single" w:sz="4" w:space="0" w:color="auto"/>
            </w:tcBorders>
            <w:shd w:val="clear" w:color="auto" w:fill="auto"/>
            <w:noWrap/>
            <w:vAlign w:val="bottom"/>
            <w:hideMark/>
          </w:tcPr>
          <w:p w14:paraId="2643A6FF" w14:textId="77777777" w:rsidR="00723044" w:rsidRPr="00194B96" w:rsidRDefault="00723044" w:rsidP="00E5685C">
            <w:pPr>
              <w:jc w:val="center"/>
              <w:rPr>
                <w:rFonts w:ascii="Calibri" w:hAnsi="Calibri"/>
                <w:b/>
                <w:bCs/>
                <w:color w:val="000000"/>
                <w:szCs w:val="24"/>
                <w:lang w:eastAsia="en-GB"/>
              </w:rPr>
            </w:pPr>
            <w:r w:rsidRPr="00194B96">
              <w:rPr>
                <w:rFonts w:ascii="Calibri" w:hAnsi="Calibri"/>
                <w:b/>
                <w:bCs/>
                <w:color w:val="000000"/>
                <w:szCs w:val="24"/>
                <w:lang w:eastAsia="en-GB"/>
              </w:rPr>
              <w:t>Overall Score</w:t>
            </w:r>
          </w:p>
        </w:tc>
        <w:tc>
          <w:tcPr>
            <w:tcW w:w="1898" w:type="dxa"/>
            <w:tcBorders>
              <w:top w:val="nil"/>
              <w:left w:val="nil"/>
              <w:bottom w:val="single" w:sz="4" w:space="0" w:color="auto"/>
              <w:right w:val="single" w:sz="4" w:space="0" w:color="auto"/>
            </w:tcBorders>
            <w:shd w:val="clear" w:color="auto" w:fill="auto"/>
            <w:noWrap/>
            <w:vAlign w:val="bottom"/>
            <w:hideMark/>
          </w:tcPr>
          <w:p w14:paraId="0C6A51E4" w14:textId="77777777" w:rsidR="00723044" w:rsidRPr="00194B96" w:rsidRDefault="00723044" w:rsidP="00E5685C">
            <w:pPr>
              <w:jc w:val="center"/>
              <w:rPr>
                <w:rFonts w:ascii="Calibri" w:hAnsi="Calibri"/>
                <w:b/>
                <w:bCs/>
                <w:color w:val="000000"/>
                <w:szCs w:val="24"/>
                <w:lang w:eastAsia="en-GB"/>
              </w:rPr>
            </w:pPr>
            <w:r w:rsidRPr="00194B96">
              <w:rPr>
                <w:rFonts w:ascii="Calibri" w:hAnsi="Calibri"/>
                <w:b/>
                <w:bCs/>
                <w:color w:val="000000"/>
                <w:szCs w:val="24"/>
                <w:lang w:eastAsia="en-GB"/>
              </w:rPr>
              <w:t>56.3%</w:t>
            </w:r>
          </w:p>
        </w:tc>
        <w:tc>
          <w:tcPr>
            <w:tcW w:w="1912" w:type="dxa"/>
            <w:tcBorders>
              <w:top w:val="nil"/>
              <w:left w:val="nil"/>
              <w:bottom w:val="single" w:sz="4" w:space="0" w:color="auto"/>
              <w:right w:val="single" w:sz="4" w:space="0" w:color="auto"/>
            </w:tcBorders>
            <w:shd w:val="clear" w:color="000000" w:fill="FFC000"/>
            <w:noWrap/>
            <w:vAlign w:val="bottom"/>
            <w:hideMark/>
          </w:tcPr>
          <w:p w14:paraId="65D455B8" w14:textId="77777777" w:rsidR="00723044" w:rsidRPr="00194B96" w:rsidRDefault="00723044" w:rsidP="00E5685C">
            <w:pPr>
              <w:jc w:val="center"/>
              <w:rPr>
                <w:rFonts w:ascii="Calibri" w:hAnsi="Calibri"/>
                <w:b/>
                <w:bCs/>
                <w:color w:val="000000"/>
                <w:szCs w:val="24"/>
                <w:lang w:eastAsia="en-GB"/>
              </w:rPr>
            </w:pPr>
            <w:r w:rsidRPr="00194B96">
              <w:rPr>
                <w:rFonts w:ascii="Calibri" w:hAnsi="Calibri"/>
                <w:b/>
                <w:bCs/>
                <w:color w:val="000000"/>
                <w:szCs w:val="24"/>
                <w:lang w:eastAsia="en-GB"/>
              </w:rPr>
              <w:t>85.0%</w:t>
            </w:r>
          </w:p>
        </w:tc>
        <w:tc>
          <w:tcPr>
            <w:tcW w:w="1898" w:type="dxa"/>
            <w:tcBorders>
              <w:top w:val="nil"/>
              <w:left w:val="nil"/>
              <w:bottom w:val="single" w:sz="4" w:space="0" w:color="auto"/>
              <w:right w:val="single" w:sz="4" w:space="0" w:color="auto"/>
            </w:tcBorders>
            <w:shd w:val="clear" w:color="auto" w:fill="auto"/>
            <w:noWrap/>
            <w:vAlign w:val="bottom"/>
            <w:hideMark/>
          </w:tcPr>
          <w:p w14:paraId="1DE94F09" w14:textId="77777777" w:rsidR="00723044" w:rsidRPr="00194B96" w:rsidRDefault="00723044" w:rsidP="00E5685C">
            <w:pPr>
              <w:jc w:val="center"/>
              <w:rPr>
                <w:rFonts w:ascii="Calibri" w:hAnsi="Calibri"/>
                <w:b/>
                <w:bCs/>
                <w:color w:val="000000"/>
                <w:szCs w:val="24"/>
                <w:lang w:eastAsia="en-GB"/>
              </w:rPr>
            </w:pPr>
            <w:r w:rsidRPr="00194B96">
              <w:rPr>
                <w:rFonts w:ascii="Calibri" w:hAnsi="Calibri"/>
                <w:b/>
                <w:bCs/>
                <w:color w:val="000000"/>
                <w:szCs w:val="24"/>
                <w:lang w:eastAsia="en-GB"/>
              </w:rPr>
              <w:t>49.5%</w:t>
            </w:r>
          </w:p>
        </w:tc>
        <w:tc>
          <w:tcPr>
            <w:tcW w:w="1918" w:type="dxa"/>
            <w:tcBorders>
              <w:top w:val="nil"/>
              <w:left w:val="nil"/>
              <w:bottom w:val="single" w:sz="4" w:space="0" w:color="auto"/>
              <w:right w:val="single" w:sz="4" w:space="0" w:color="auto"/>
            </w:tcBorders>
            <w:shd w:val="clear" w:color="auto" w:fill="auto"/>
            <w:noWrap/>
            <w:vAlign w:val="bottom"/>
            <w:hideMark/>
          </w:tcPr>
          <w:p w14:paraId="1A89C1EC" w14:textId="77777777" w:rsidR="00723044" w:rsidRPr="00194B96" w:rsidRDefault="00723044" w:rsidP="00E5685C">
            <w:pPr>
              <w:jc w:val="center"/>
              <w:rPr>
                <w:rFonts w:ascii="Calibri" w:hAnsi="Calibri"/>
                <w:b/>
                <w:bCs/>
                <w:color w:val="000000"/>
                <w:szCs w:val="24"/>
                <w:lang w:eastAsia="en-GB"/>
              </w:rPr>
            </w:pPr>
            <w:r w:rsidRPr="00194B96">
              <w:rPr>
                <w:rFonts w:ascii="Calibri" w:hAnsi="Calibri"/>
                <w:b/>
                <w:bCs/>
                <w:color w:val="000000"/>
                <w:szCs w:val="24"/>
                <w:lang w:eastAsia="en-GB"/>
              </w:rPr>
              <w:t>78.2%</w:t>
            </w:r>
          </w:p>
        </w:tc>
      </w:tr>
    </w:tbl>
    <w:p w14:paraId="27071BAB" w14:textId="77777777" w:rsidR="00723044" w:rsidRPr="00762C9F" w:rsidRDefault="00723044" w:rsidP="00723044">
      <w:pPr>
        <w:pStyle w:val="ListParagraph"/>
        <w:ind w:left="0"/>
        <w:jc w:val="both"/>
      </w:pPr>
    </w:p>
    <w:p w14:paraId="56BD4836" w14:textId="24A20752" w:rsidR="00723044" w:rsidRPr="00016E42" w:rsidRDefault="00723044" w:rsidP="00723044">
      <w:pPr>
        <w:pStyle w:val="ListParagraph"/>
        <w:jc w:val="both"/>
        <w:rPr>
          <w:bCs/>
          <w:sz w:val="24"/>
          <w:szCs w:val="24"/>
        </w:rPr>
      </w:pPr>
      <w:r>
        <w:rPr>
          <w:sz w:val="24"/>
          <w:szCs w:val="24"/>
        </w:rPr>
        <w:lastRenderedPageBreak/>
        <w:t xml:space="preserve">As a result of awarding Quattro UK Ltd as WLWA’s Rubble, Hardcore and Soil </w:t>
      </w:r>
      <w:proofErr w:type="spellStart"/>
      <w:r>
        <w:rPr>
          <w:sz w:val="24"/>
          <w:szCs w:val="24"/>
        </w:rPr>
        <w:t>Offtaker</w:t>
      </w:r>
      <w:proofErr w:type="spellEnd"/>
      <w:r>
        <w:rPr>
          <w:sz w:val="24"/>
          <w:szCs w:val="24"/>
        </w:rPr>
        <w:t xml:space="preserve">, the cost of managing this material will reduce against the budget by </w:t>
      </w:r>
      <w:r w:rsidRPr="00016E42">
        <w:rPr>
          <w:sz w:val="24"/>
          <w:szCs w:val="24"/>
        </w:rPr>
        <w:t xml:space="preserve">approximately </w:t>
      </w:r>
      <w:r w:rsidRPr="00797E8B">
        <w:rPr>
          <w:bCs/>
          <w:sz w:val="24"/>
          <w:szCs w:val="24"/>
        </w:rPr>
        <w:t>35%</w:t>
      </w:r>
      <w:r w:rsidRPr="00016E42">
        <w:rPr>
          <w:b/>
          <w:sz w:val="24"/>
          <w:szCs w:val="24"/>
        </w:rPr>
        <w:t xml:space="preserve"> </w:t>
      </w:r>
      <w:r>
        <w:rPr>
          <w:sz w:val="24"/>
          <w:szCs w:val="24"/>
        </w:rPr>
        <w:t>which equates to a</w:t>
      </w:r>
      <w:r w:rsidR="002F2D0A">
        <w:rPr>
          <w:sz w:val="24"/>
          <w:szCs w:val="24"/>
        </w:rPr>
        <w:t>n annual</w:t>
      </w:r>
      <w:r>
        <w:rPr>
          <w:sz w:val="24"/>
          <w:szCs w:val="24"/>
        </w:rPr>
        <w:t xml:space="preserve"> saving of approximately £60,000.</w:t>
      </w:r>
    </w:p>
    <w:p w14:paraId="36881855" w14:textId="77777777" w:rsidR="00723044" w:rsidRPr="00016E42" w:rsidRDefault="00723044" w:rsidP="00723044">
      <w:pPr>
        <w:pStyle w:val="ListParagraph"/>
        <w:ind w:left="142"/>
        <w:jc w:val="both"/>
        <w:rPr>
          <w:bCs/>
          <w:sz w:val="24"/>
          <w:szCs w:val="24"/>
        </w:rPr>
      </w:pPr>
    </w:p>
    <w:p w14:paraId="1E1A511E" w14:textId="77777777" w:rsidR="00723044" w:rsidRPr="00016E42" w:rsidRDefault="00723044" w:rsidP="00723044">
      <w:pPr>
        <w:pStyle w:val="ListParagraph"/>
        <w:jc w:val="both"/>
        <w:rPr>
          <w:sz w:val="24"/>
          <w:szCs w:val="24"/>
        </w:rPr>
      </w:pPr>
      <w:r>
        <w:rPr>
          <w:b/>
          <w:sz w:val="24"/>
          <w:szCs w:val="24"/>
        </w:rPr>
        <w:t>Other benefits of the winning bidder</w:t>
      </w:r>
    </w:p>
    <w:p w14:paraId="72A6B660" w14:textId="77777777" w:rsidR="00723044" w:rsidRPr="00016E42" w:rsidRDefault="00723044" w:rsidP="00723044">
      <w:pPr>
        <w:pStyle w:val="ListParagraph"/>
        <w:numPr>
          <w:ilvl w:val="0"/>
          <w:numId w:val="19"/>
        </w:numPr>
        <w:spacing w:after="160" w:line="259" w:lineRule="auto"/>
        <w:jc w:val="both"/>
        <w:rPr>
          <w:sz w:val="24"/>
          <w:szCs w:val="24"/>
        </w:rPr>
      </w:pPr>
      <w:r w:rsidRPr="00016E42">
        <w:rPr>
          <w:sz w:val="24"/>
          <w:szCs w:val="24"/>
        </w:rPr>
        <w:t>Based in Acton, W3 0BP</w:t>
      </w:r>
    </w:p>
    <w:p w14:paraId="00AF6FD9" w14:textId="77777777" w:rsidR="00723044" w:rsidRPr="00016E42" w:rsidRDefault="00723044" w:rsidP="00723044">
      <w:pPr>
        <w:pStyle w:val="ListParagraph"/>
        <w:numPr>
          <w:ilvl w:val="0"/>
          <w:numId w:val="19"/>
        </w:numPr>
        <w:spacing w:after="160" w:line="259" w:lineRule="auto"/>
        <w:jc w:val="both"/>
        <w:rPr>
          <w:sz w:val="24"/>
          <w:szCs w:val="24"/>
        </w:rPr>
      </w:pPr>
      <w:r w:rsidRPr="00016E42">
        <w:rPr>
          <w:sz w:val="24"/>
          <w:szCs w:val="24"/>
        </w:rPr>
        <w:t>Bid back 100% diversion from landfill (99.8% recycling and recovery rate)</w:t>
      </w:r>
    </w:p>
    <w:p w14:paraId="65628BC1" w14:textId="77777777" w:rsidR="00723044" w:rsidRPr="00016E42" w:rsidRDefault="00723044" w:rsidP="00723044">
      <w:pPr>
        <w:pStyle w:val="ListParagraph"/>
        <w:numPr>
          <w:ilvl w:val="0"/>
          <w:numId w:val="19"/>
        </w:numPr>
        <w:spacing w:after="160" w:line="259" w:lineRule="auto"/>
        <w:jc w:val="both"/>
        <w:rPr>
          <w:sz w:val="24"/>
          <w:szCs w:val="24"/>
        </w:rPr>
      </w:pPr>
      <w:r>
        <w:rPr>
          <w:sz w:val="24"/>
          <w:szCs w:val="24"/>
        </w:rPr>
        <w:t>Good evidence of</w:t>
      </w:r>
      <w:r w:rsidRPr="00016E42">
        <w:rPr>
          <w:sz w:val="24"/>
          <w:szCs w:val="24"/>
        </w:rPr>
        <w:t xml:space="preserve"> H&amp;S procedures</w:t>
      </w:r>
      <w:r>
        <w:rPr>
          <w:sz w:val="24"/>
          <w:szCs w:val="24"/>
        </w:rPr>
        <w:t>, risk assessment and waste reporting</w:t>
      </w:r>
      <w:r w:rsidRPr="00016E42">
        <w:rPr>
          <w:sz w:val="24"/>
          <w:szCs w:val="24"/>
        </w:rPr>
        <w:t>.</w:t>
      </w:r>
    </w:p>
    <w:p w14:paraId="10986699" w14:textId="77777777" w:rsidR="00723044" w:rsidRDefault="00723044" w:rsidP="00723044">
      <w:pPr>
        <w:pStyle w:val="ListParagraph"/>
        <w:numPr>
          <w:ilvl w:val="0"/>
          <w:numId w:val="19"/>
        </w:numPr>
        <w:spacing w:after="160" w:line="259" w:lineRule="auto"/>
        <w:jc w:val="both"/>
        <w:rPr>
          <w:sz w:val="24"/>
          <w:szCs w:val="24"/>
        </w:rPr>
      </w:pPr>
      <w:r>
        <w:rPr>
          <w:sz w:val="24"/>
          <w:szCs w:val="24"/>
        </w:rPr>
        <w:t>C</w:t>
      </w:r>
      <w:r w:rsidRPr="00A60921">
        <w:rPr>
          <w:sz w:val="24"/>
          <w:szCs w:val="24"/>
        </w:rPr>
        <w:t xml:space="preserve">omprehensive Carbon Management Plan and certifications related to </w:t>
      </w:r>
      <w:r>
        <w:rPr>
          <w:sz w:val="24"/>
          <w:szCs w:val="24"/>
        </w:rPr>
        <w:t>c</w:t>
      </w:r>
      <w:r w:rsidRPr="00A60921">
        <w:rPr>
          <w:sz w:val="24"/>
          <w:szCs w:val="24"/>
        </w:rPr>
        <w:t>arbon reduction and social value</w:t>
      </w:r>
      <w:r>
        <w:rPr>
          <w:sz w:val="24"/>
          <w:szCs w:val="24"/>
        </w:rPr>
        <w:t>.</w:t>
      </w:r>
    </w:p>
    <w:p w14:paraId="5FE79014" w14:textId="77777777" w:rsidR="004A7478" w:rsidRPr="004A7478" w:rsidRDefault="004A7478" w:rsidP="00FB7A5A">
      <w:pPr>
        <w:spacing w:after="240"/>
        <w:outlineLvl w:val="3"/>
        <w:rPr>
          <w:rFonts w:ascii="Arial" w:hAnsi="Arial" w:cs="Arial"/>
          <w:szCs w:val="24"/>
        </w:rPr>
      </w:pPr>
    </w:p>
    <w:sectPr w:rsidR="004A7478" w:rsidRPr="004A7478" w:rsidSect="00400672">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E37B" w14:textId="77777777" w:rsidR="006E2298" w:rsidRDefault="006E2298">
      <w:r>
        <w:separator/>
      </w:r>
    </w:p>
  </w:endnote>
  <w:endnote w:type="continuationSeparator" w:id="0">
    <w:p w14:paraId="23AEC3AA" w14:textId="77777777" w:rsidR="006E2298" w:rsidRDefault="006E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7AE29A6C"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2F2D0A">
      <w:rPr>
        <w:rFonts w:ascii="Arial" w:hAnsi="Arial" w:cs="Arial"/>
        <w:noProof/>
        <w:sz w:val="20"/>
        <w:szCs w:val="22"/>
      </w:rPr>
      <w:t>1</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FAAA" w14:textId="77777777" w:rsidR="006E2298" w:rsidRDefault="006E2298">
      <w:r>
        <w:separator/>
      </w:r>
    </w:p>
  </w:footnote>
  <w:footnote w:type="continuationSeparator" w:id="0">
    <w:p w14:paraId="6D9E5AD7" w14:textId="77777777" w:rsidR="006E2298" w:rsidRDefault="006E2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CA10D9"/>
    <w:multiLevelType w:val="hybridMultilevel"/>
    <w:tmpl w:val="80D6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202E2"/>
    <w:multiLevelType w:val="hybridMultilevel"/>
    <w:tmpl w:val="904ACE12"/>
    <w:lvl w:ilvl="0" w:tplc="45A409A6">
      <w:start w:val="1"/>
      <w:numFmt w:val="bullet"/>
      <w:lvlText w:val="•"/>
      <w:lvlJc w:val="left"/>
      <w:pPr>
        <w:tabs>
          <w:tab w:val="num" w:pos="720"/>
        </w:tabs>
        <w:ind w:left="720" w:hanging="360"/>
      </w:pPr>
      <w:rPr>
        <w:rFonts w:ascii="Arial" w:hAnsi="Arial" w:hint="default"/>
      </w:rPr>
    </w:lvl>
    <w:lvl w:ilvl="1" w:tplc="806419C4" w:tentative="1">
      <w:start w:val="1"/>
      <w:numFmt w:val="bullet"/>
      <w:lvlText w:val="•"/>
      <w:lvlJc w:val="left"/>
      <w:pPr>
        <w:tabs>
          <w:tab w:val="num" w:pos="1440"/>
        </w:tabs>
        <w:ind w:left="1440" w:hanging="360"/>
      </w:pPr>
      <w:rPr>
        <w:rFonts w:ascii="Arial" w:hAnsi="Arial" w:hint="default"/>
      </w:rPr>
    </w:lvl>
    <w:lvl w:ilvl="2" w:tplc="C16CEA1A" w:tentative="1">
      <w:start w:val="1"/>
      <w:numFmt w:val="bullet"/>
      <w:lvlText w:val="•"/>
      <w:lvlJc w:val="left"/>
      <w:pPr>
        <w:tabs>
          <w:tab w:val="num" w:pos="2160"/>
        </w:tabs>
        <w:ind w:left="2160" w:hanging="360"/>
      </w:pPr>
      <w:rPr>
        <w:rFonts w:ascii="Arial" w:hAnsi="Arial" w:hint="default"/>
      </w:rPr>
    </w:lvl>
    <w:lvl w:ilvl="3" w:tplc="9EB0387C" w:tentative="1">
      <w:start w:val="1"/>
      <w:numFmt w:val="bullet"/>
      <w:lvlText w:val="•"/>
      <w:lvlJc w:val="left"/>
      <w:pPr>
        <w:tabs>
          <w:tab w:val="num" w:pos="2880"/>
        </w:tabs>
        <w:ind w:left="2880" w:hanging="360"/>
      </w:pPr>
      <w:rPr>
        <w:rFonts w:ascii="Arial" w:hAnsi="Arial" w:hint="default"/>
      </w:rPr>
    </w:lvl>
    <w:lvl w:ilvl="4" w:tplc="6A268F7C" w:tentative="1">
      <w:start w:val="1"/>
      <w:numFmt w:val="bullet"/>
      <w:lvlText w:val="•"/>
      <w:lvlJc w:val="left"/>
      <w:pPr>
        <w:tabs>
          <w:tab w:val="num" w:pos="3600"/>
        </w:tabs>
        <w:ind w:left="3600" w:hanging="360"/>
      </w:pPr>
      <w:rPr>
        <w:rFonts w:ascii="Arial" w:hAnsi="Arial" w:hint="default"/>
      </w:rPr>
    </w:lvl>
    <w:lvl w:ilvl="5" w:tplc="0E7895D4" w:tentative="1">
      <w:start w:val="1"/>
      <w:numFmt w:val="bullet"/>
      <w:lvlText w:val="•"/>
      <w:lvlJc w:val="left"/>
      <w:pPr>
        <w:tabs>
          <w:tab w:val="num" w:pos="4320"/>
        </w:tabs>
        <w:ind w:left="4320" w:hanging="360"/>
      </w:pPr>
      <w:rPr>
        <w:rFonts w:ascii="Arial" w:hAnsi="Arial" w:hint="default"/>
      </w:rPr>
    </w:lvl>
    <w:lvl w:ilvl="6" w:tplc="575E1558" w:tentative="1">
      <w:start w:val="1"/>
      <w:numFmt w:val="bullet"/>
      <w:lvlText w:val="•"/>
      <w:lvlJc w:val="left"/>
      <w:pPr>
        <w:tabs>
          <w:tab w:val="num" w:pos="5040"/>
        </w:tabs>
        <w:ind w:left="5040" w:hanging="360"/>
      </w:pPr>
      <w:rPr>
        <w:rFonts w:ascii="Arial" w:hAnsi="Arial" w:hint="default"/>
      </w:rPr>
    </w:lvl>
    <w:lvl w:ilvl="7" w:tplc="1A709B58" w:tentative="1">
      <w:start w:val="1"/>
      <w:numFmt w:val="bullet"/>
      <w:lvlText w:val="•"/>
      <w:lvlJc w:val="left"/>
      <w:pPr>
        <w:tabs>
          <w:tab w:val="num" w:pos="5760"/>
        </w:tabs>
        <w:ind w:left="5760" w:hanging="360"/>
      </w:pPr>
      <w:rPr>
        <w:rFonts w:ascii="Arial" w:hAnsi="Arial" w:hint="default"/>
      </w:rPr>
    </w:lvl>
    <w:lvl w:ilvl="8" w:tplc="17E4DA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2" w15:restartNumberingAfterBreak="0">
    <w:nsid w:val="63B14955"/>
    <w:multiLevelType w:val="hybridMultilevel"/>
    <w:tmpl w:val="10BE8ADE"/>
    <w:lvl w:ilvl="0" w:tplc="E412233E">
      <w:start w:val="1"/>
      <w:numFmt w:val="bullet"/>
      <w:lvlText w:val="•"/>
      <w:lvlJc w:val="left"/>
      <w:pPr>
        <w:tabs>
          <w:tab w:val="num" w:pos="720"/>
        </w:tabs>
        <w:ind w:left="720" w:hanging="360"/>
      </w:pPr>
      <w:rPr>
        <w:rFonts w:ascii="Arial" w:hAnsi="Arial" w:hint="default"/>
      </w:rPr>
    </w:lvl>
    <w:lvl w:ilvl="1" w:tplc="766A3FCE" w:tentative="1">
      <w:start w:val="1"/>
      <w:numFmt w:val="bullet"/>
      <w:lvlText w:val="•"/>
      <w:lvlJc w:val="left"/>
      <w:pPr>
        <w:tabs>
          <w:tab w:val="num" w:pos="1440"/>
        </w:tabs>
        <w:ind w:left="1440" w:hanging="360"/>
      </w:pPr>
      <w:rPr>
        <w:rFonts w:ascii="Arial" w:hAnsi="Arial" w:hint="default"/>
      </w:rPr>
    </w:lvl>
    <w:lvl w:ilvl="2" w:tplc="3C5CF96E" w:tentative="1">
      <w:start w:val="1"/>
      <w:numFmt w:val="bullet"/>
      <w:lvlText w:val="•"/>
      <w:lvlJc w:val="left"/>
      <w:pPr>
        <w:tabs>
          <w:tab w:val="num" w:pos="2160"/>
        </w:tabs>
        <w:ind w:left="2160" w:hanging="360"/>
      </w:pPr>
      <w:rPr>
        <w:rFonts w:ascii="Arial" w:hAnsi="Arial" w:hint="default"/>
      </w:rPr>
    </w:lvl>
    <w:lvl w:ilvl="3" w:tplc="B226114C" w:tentative="1">
      <w:start w:val="1"/>
      <w:numFmt w:val="bullet"/>
      <w:lvlText w:val="•"/>
      <w:lvlJc w:val="left"/>
      <w:pPr>
        <w:tabs>
          <w:tab w:val="num" w:pos="2880"/>
        </w:tabs>
        <w:ind w:left="2880" w:hanging="360"/>
      </w:pPr>
      <w:rPr>
        <w:rFonts w:ascii="Arial" w:hAnsi="Arial" w:hint="default"/>
      </w:rPr>
    </w:lvl>
    <w:lvl w:ilvl="4" w:tplc="CE982828" w:tentative="1">
      <w:start w:val="1"/>
      <w:numFmt w:val="bullet"/>
      <w:lvlText w:val="•"/>
      <w:lvlJc w:val="left"/>
      <w:pPr>
        <w:tabs>
          <w:tab w:val="num" w:pos="3600"/>
        </w:tabs>
        <w:ind w:left="3600" w:hanging="360"/>
      </w:pPr>
      <w:rPr>
        <w:rFonts w:ascii="Arial" w:hAnsi="Arial" w:hint="default"/>
      </w:rPr>
    </w:lvl>
    <w:lvl w:ilvl="5" w:tplc="E6D4025C" w:tentative="1">
      <w:start w:val="1"/>
      <w:numFmt w:val="bullet"/>
      <w:lvlText w:val="•"/>
      <w:lvlJc w:val="left"/>
      <w:pPr>
        <w:tabs>
          <w:tab w:val="num" w:pos="4320"/>
        </w:tabs>
        <w:ind w:left="4320" w:hanging="360"/>
      </w:pPr>
      <w:rPr>
        <w:rFonts w:ascii="Arial" w:hAnsi="Arial" w:hint="default"/>
      </w:rPr>
    </w:lvl>
    <w:lvl w:ilvl="6" w:tplc="FF4E020A" w:tentative="1">
      <w:start w:val="1"/>
      <w:numFmt w:val="bullet"/>
      <w:lvlText w:val="•"/>
      <w:lvlJc w:val="left"/>
      <w:pPr>
        <w:tabs>
          <w:tab w:val="num" w:pos="5040"/>
        </w:tabs>
        <w:ind w:left="5040" w:hanging="360"/>
      </w:pPr>
      <w:rPr>
        <w:rFonts w:ascii="Arial" w:hAnsi="Arial" w:hint="default"/>
      </w:rPr>
    </w:lvl>
    <w:lvl w:ilvl="7" w:tplc="74508FF2" w:tentative="1">
      <w:start w:val="1"/>
      <w:numFmt w:val="bullet"/>
      <w:lvlText w:val="•"/>
      <w:lvlJc w:val="left"/>
      <w:pPr>
        <w:tabs>
          <w:tab w:val="num" w:pos="5760"/>
        </w:tabs>
        <w:ind w:left="5760" w:hanging="360"/>
      </w:pPr>
      <w:rPr>
        <w:rFonts w:ascii="Arial" w:hAnsi="Arial" w:hint="default"/>
      </w:rPr>
    </w:lvl>
    <w:lvl w:ilvl="8" w:tplc="C568A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AA64038"/>
    <w:multiLevelType w:val="hybridMultilevel"/>
    <w:tmpl w:val="CC184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9"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5"/>
  </w:num>
  <w:num w:numId="5">
    <w:abstractNumId w:val="19"/>
  </w:num>
  <w:num w:numId="6">
    <w:abstractNumId w:val="2"/>
  </w:num>
  <w:num w:numId="7">
    <w:abstractNumId w:val="13"/>
  </w:num>
  <w:num w:numId="8">
    <w:abstractNumId w:val="6"/>
  </w:num>
  <w:num w:numId="9">
    <w:abstractNumId w:val="17"/>
  </w:num>
  <w:num w:numId="10">
    <w:abstractNumId w:val="1"/>
  </w:num>
  <w:num w:numId="11">
    <w:abstractNumId w:val="4"/>
  </w:num>
  <w:num w:numId="12">
    <w:abstractNumId w:val="3"/>
  </w:num>
  <w:num w:numId="13">
    <w:abstractNumId w:val="5"/>
  </w:num>
  <w:num w:numId="14">
    <w:abstractNumId w:val="7"/>
  </w:num>
  <w:num w:numId="15">
    <w:abstractNumId w:val="8"/>
  </w:num>
  <w:num w:numId="16">
    <w:abstractNumId w:val="9"/>
  </w:num>
  <w:num w:numId="17">
    <w:abstractNumId w:val="12"/>
  </w:num>
  <w:num w:numId="18">
    <w:abstractNumId w:val="10"/>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5299"/>
    <w:rsid w:val="00006E91"/>
    <w:rsid w:val="00006FE3"/>
    <w:rsid w:val="0001197A"/>
    <w:rsid w:val="00011E40"/>
    <w:rsid w:val="000130E9"/>
    <w:rsid w:val="0001346C"/>
    <w:rsid w:val="00013985"/>
    <w:rsid w:val="00013C4F"/>
    <w:rsid w:val="0001419F"/>
    <w:rsid w:val="0001642F"/>
    <w:rsid w:val="00016DEE"/>
    <w:rsid w:val="00016FA7"/>
    <w:rsid w:val="00020BB6"/>
    <w:rsid w:val="00022574"/>
    <w:rsid w:val="00022EA4"/>
    <w:rsid w:val="000233A4"/>
    <w:rsid w:val="00023647"/>
    <w:rsid w:val="00023BF7"/>
    <w:rsid w:val="00024498"/>
    <w:rsid w:val="00024613"/>
    <w:rsid w:val="000247A9"/>
    <w:rsid w:val="00026B13"/>
    <w:rsid w:val="00027158"/>
    <w:rsid w:val="00027FD5"/>
    <w:rsid w:val="00030B5D"/>
    <w:rsid w:val="000315D7"/>
    <w:rsid w:val="000325E1"/>
    <w:rsid w:val="00034B83"/>
    <w:rsid w:val="000364C3"/>
    <w:rsid w:val="000366E7"/>
    <w:rsid w:val="00036BB3"/>
    <w:rsid w:val="00036E8F"/>
    <w:rsid w:val="000379BA"/>
    <w:rsid w:val="00040377"/>
    <w:rsid w:val="00040889"/>
    <w:rsid w:val="00042940"/>
    <w:rsid w:val="00042DDC"/>
    <w:rsid w:val="00043326"/>
    <w:rsid w:val="000433B3"/>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0DFF"/>
    <w:rsid w:val="00071151"/>
    <w:rsid w:val="000721D3"/>
    <w:rsid w:val="00073341"/>
    <w:rsid w:val="00074F47"/>
    <w:rsid w:val="00075E1E"/>
    <w:rsid w:val="00077A96"/>
    <w:rsid w:val="00077FD9"/>
    <w:rsid w:val="000802AF"/>
    <w:rsid w:val="000814B0"/>
    <w:rsid w:val="00081F3E"/>
    <w:rsid w:val="000825C7"/>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0914"/>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4A61"/>
    <w:rsid w:val="000E5C42"/>
    <w:rsid w:val="000E5F1A"/>
    <w:rsid w:val="000E6768"/>
    <w:rsid w:val="000E7E8F"/>
    <w:rsid w:val="000E7F33"/>
    <w:rsid w:val="000F0D07"/>
    <w:rsid w:val="000F1044"/>
    <w:rsid w:val="000F15CC"/>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487D"/>
    <w:rsid w:val="001367E1"/>
    <w:rsid w:val="00136F89"/>
    <w:rsid w:val="001409F5"/>
    <w:rsid w:val="0014173C"/>
    <w:rsid w:val="00141753"/>
    <w:rsid w:val="00141983"/>
    <w:rsid w:val="00142372"/>
    <w:rsid w:val="0014249F"/>
    <w:rsid w:val="00143158"/>
    <w:rsid w:val="0014480C"/>
    <w:rsid w:val="00150389"/>
    <w:rsid w:val="001503B2"/>
    <w:rsid w:val="001510FF"/>
    <w:rsid w:val="0015162B"/>
    <w:rsid w:val="00151B91"/>
    <w:rsid w:val="00151DF1"/>
    <w:rsid w:val="00152090"/>
    <w:rsid w:val="001537A0"/>
    <w:rsid w:val="001540FE"/>
    <w:rsid w:val="00154513"/>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15BE"/>
    <w:rsid w:val="001816D0"/>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431"/>
    <w:rsid w:val="001C2817"/>
    <w:rsid w:val="001C305E"/>
    <w:rsid w:val="001C3393"/>
    <w:rsid w:val="001C349B"/>
    <w:rsid w:val="001C3A3A"/>
    <w:rsid w:val="001C3C2B"/>
    <w:rsid w:val="001C4521"/>
    <w:rsid w:val="001C4C56"/>
    <w:rsid w:val="001C52C7"/>
    <w:rsid w:val="001C58AF"/>
    <w:rsid w:val="001C59D5"/>
    <w:rsid w:val="001C661D"/>
    <w:rsid w:val="001C68E4"/>
    <w:rsid w:val="001C71E5"/>
    <w:rsid w:val="001C71FB"/>
    <w:rsid w:val="001C7219"/>
    <w:rsid w:val="001C772F"/>
    <w:rsid w:val="001C79C2"/>
    <w:rsid w:val="001D0669"/>
    <w:rsid w:val="001D0D12"/>
    <w:rsid w:val="001D3477"/>
    <w:rsid w:val="001D39CC"/>
    <w:rsid w:val="001D42AE"/>
    <w:rsid w:val="001D42E5"/>
    <w:rsid w:val="001D4FEB"/>
    <w:rsid w:val="001D5AA2"/>
    <w:rsid w:val="001D6226"/>
    <w:rsid w:val="001D68E6"/>
    <w:rsid w:val="001D6AC5"/>
    <w:rsid w:val="001D6F57"/>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0EEE"/>
    <w:rsid w:val="002210CD"/>
    <w:rsid w:val="002227F5"/>
    <w:rsid w:val="00222875"/>
    <w:rsid w:val="00224BBC"/>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308"/>
    <w:rsid w:val="00246892"/>
    <w:rsid w:val="00247B25"/>
    <w:rsid w:val="00247F6D"/>
    <w:rsid w:val="002509B7"/>
    <w:rsid w:val="002510AF"/>
    <w:rsid w:val="00251F7D"/>
    <w:rsid w:val="002522A6"/>
    <w:rsid w:val="002533F8"/>
    <w:rsid w:val="002545BB"/>
    <w:rsid w:val="002549E3"/>
    <w:rsid w:val="00255550"/>
    <w:rsid w:val="00255902"/>
    <w:rsid w:val="00261A77"/>
    <w:rsid w:val="002623D0"/>
    <w:rsid w:val="002626D8"/>
    <w:rsid w:val="00262F5D"/>
    <w:rsid w:val="00263202"/>
    <w:rsid w:val="00263DB5"/>
    <w:rsid w:val="0026410A"/>
    <w:rsid w:val="00265E3D"/>
    <w:rsid w:val="00266354"/>
    <w:rsid w:val="002718C8"/>
    <w:rsid w:val="00271A0A"/>
    <w:rsid w:val="00272BD7"/>
    <w:rsid w:val="002731E6"/>
    <w:rsid w:val="00276164"/>
    <w:rsid w:val="002777F7"/>
    <w:rsid w:val="0028083B"/>
    <w:rsid w:val="0028110D"/>
    <w:rsid w:val="0028139E"/>
    <w:rsid w:val="002815E2"/>
    <w:rsid w:val="00284A9A"/>
    <w:rsid w:val="0028560E"/>
    <w:rsid w:val="00285AF4"/>
    <w:rsid w:val="0029067B"/>
    <w:rsid w:val="002912E7"/>
    <w:rsid w:val="00291B9B"/>
    <w:rsid w:val="00291C46"/>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A7DFC"/>
    <w:rsid w:val="002B039E"/>
    <w:rsid w:val="002B358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2D0A"/>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37C85"/>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3D43"/>
    <w:rsid w:val="003540EF"/>
    <w:rsid w:val="0035588B"/>
    <w:rsid w:val="00356F50"/>
    <w:rsid w:val="00357C29"/>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CDE"/>
    <w:rsid w:val="00382E7D"/>
    <w:rsid w:val="00384813"/>
    <w:rsid w:val="00384F4E"/>
    <w:rsid w:val="00385176"/>
    <w:rsid w:val="00385A84"/>
    <w:rsid w:val="0038684F"/>
    <w:rsid w:val="00386FAA"/>
    <w:rsid w:val="00387594"/>
    <w:rsid w:val="0039009E"/>
    <w:rsid w:val="00390A96"/>
    <w:rsid w:val="00392179"/>
    <w:rsid w:val="00393690"/>
    <w:rsid w:val="00393889"/>
    <w:rsid w:val="0039531D"/>
    <w:rsid w:val="00397F1C"/>
    <w:rsid w:val="003A0A62"/>
    <w:rsid w:val="003A15E9"/>
    <w:rsid w:val="003A190D"/>
    <w:rsid w:val="003A199F"/>
    <w:rsid w:val="003A2B6D"/>
    <w:rsid w:val="003A2C28"/>
    <w:rsid w:val="003A3009"/>
    <w:rsid w:val="003A34BA"/>
    <w:rsid w:val="003A52A8"/>
    <w:rsid w:val="003A544F"/>
    <w:rsid w:val="003B0534"/>
    <w:rsid w:val="003B24F0"/>
    <w:rsid w:val="003B3D34"/>
    <w:rsid w:val="003B4205"/>
    <w:rsid w:val="003B4D8B"/>
    <w:rsid w:val="003B54B3"/>
    <w:rsid w:val="003B56E5"/>
    <w:rsid w:val="003C0CDE"/>
    <w:rsid w:val="003C4AB5"/>
    <w:rsid w:val="003C64E5"/>
    <w:rsid w:val="003C6EC7"/>
    <w:rsid w:val="003C7E21"/>
    <w:rsid w:val="003D21EB"/>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38C"/>
    <w:rsid w:val="004074EA"/>
    <w:rsid w:val="00407BA1"/>
    <w:rsid w:val="00410B0E"/>
    <w:rsid w:val="00411481"/>
    <w:rsid w:val="004120DA"/>
    <w:rsid w:val="00412D85"/>
    <w:rsid w:val="00417FDF"/>
    <w:rsid w:val="00420287"/>
    <w:rsid w:val="004208A8"/>
    <w:rsid w:val="00420BDB"/>
    <w:rsid w:val="0042103C"/>
    <w:rsid w:val="0042219A"/>
    <w:rsid w:val="004223B1"/>
    <w:rsid w:val="00423232"/>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608"/>
    <w:rsid w:val="00454A7B"/>
    <w:rsid w:val="0045544A"/>
    <w:rsid w:val="0045628D"/>
    <w:rsid w:val="00456F44"/>
    <w:rsid w:val="0046011B"/>
    <w:rsid w:val="00460179"/>
    <w:rsid w:val="004604B2"/>
    <w:rsid w:val="004604D2"/>
    <w:rsid w:val="00461258"/>
    <w:rsid w:val="00461947"/>
    <w:rsid w:val="00462921"/>
    <w:rsid w:val="004675D0"/>
    <w:rsid w:val="00467C82"/>
    <w:rsid w:val="0047184A"/>
    <w:rsid w:val="00472253"/>
    <w:rsid w:val="00473151"/>
    <w:rsid w:val="004736DC"/>
    <w:rsid w:val="00473B39"/>
    <w:rsid w:val="00474ADE"/>
    <w:rsid w:val="00475201"/>
    <w:rsid w:val="00475F12"/>
    <w:rsid w:val="0047774B"/>
    <w:rsid w:val="00480225"/>
    <w:rsid w:val="00480A99"/>
    <w:rsid w:val="0048103D"/>
    <w:rsid w:val="00481A35"/>
    <w:rsid w:val="00481D69"/>
    <w:rsid w:val="00482172"/>
    <w:rsid w:val="004823F7"/>
    <w:rsid w:val="0048317D"/>
    <w:rsid w:val="004851A9"/>
    <w:rsid w:val="00486A5A"/>
    <w:rsid w:val="004872E3"/>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AB8"/>
    <w:rsid w:val="004D1C87"/>
    <w:rsid w:val="004D1FD0"/>
    <w:rsid w:val="004D2534"/>
    <w:rsid w:val="004D3AA3"/>
    <w:rsid w:val="004D3AD5"/>
    <w:rsid w:val="004D5474"/>
    <w:rsid w:val="004D5AFD"/>
    <w:rsid w:val="004D67E7"/>
    <w:rsid w:val="004E08E7"/>
    <w:rsid w:val="004E137D"/>
    <w:rsid w:val="004E23A9"/>
    <w:rsid w:val="004E2E8C"/>
    <w:rsid w:val="004E3149"/>
    <w:rsid w:val="004E3DDE"/>
    <w:rsid w:val="004E5480"/>
    <w:rsid w:val="004E61A9"/>
    <w:rsid w:val="004E65A4"/>
    <w:rsid w:val="004F22C5"/>
    <w:rsid w:val="004F3365"/>
    <w:rsid w:val="004F411A"/>
    <w:rsid w:val="004F4469"/>
    <w:rsid w:val="004F4A77"/>
    <w:rsid w:val="004F601C"/>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9E6"/>
    <w:rsid w:val="00541E98"/>
    <w:rsid w:val="005424EC"/>
    <w:rsid w:val="00543A15"/>
    <w:rsid w:val="00544666"/>
    <w:rsid w:val="005447F6"/>
    <w:rsid w:val="00544B9A"/>
    <w:rsid w:val="005456C1"/>
    <w:rsid w:val="00545759"/>
    <w:rsid w:val="005460B3"/>
    <w:rsid w:val="00547B02"/>
    <w:rsid w:val="005506C4"/>
    <w:rsid w:val="00550A37"/>
    <w:rsid w:val="00550E46"/>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5E15"/>
    <w:rsid w:val="00576DE6"/>
    <w:rsid w:val="005770A3"/>
    <w:rsid w:val="005771DA"/>
    <w:rsid w:val="005779E9"/>
    <w:rsid w:val="00581814"/>
    <w:rsid w:val="0058258B"/>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567D"/>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4CCE"/>
    <w:rsid w:val="005C52DC"/>
    <w:rsid w:val="005C6AE5"/>
    <w:rsid w:val="005C7C63"/>
    <w:rsid w:val="005D0740"/>
    <w:rsid w:val="005D12B2"/>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803"/>
    <w:rsid w:val="00653AB1"/>
    <w:rsid w:val="00654616"/>
    <w:rsid w:val="00654B3F"/>
    <w:rsid w:val="00655AFA"/>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455"/>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890"/>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D58"/>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77B"/>
    <w:rsid w:val="006D78DE"/>
    <w:rsid w:val="006E0698"/>
    <w:rsid w:val="006E10A5"/>
    <w:rsid w:val="006E11E6"/>
    <w:rsid w:val="006E14C5"/>
    <w:rsid w:val="006E2298"/>
    <w:rsid w:val="006E32C0"/>
    <w:rsid w:val="006E4017"/>
    <w:rsid w:val="006E44E0"/>
    <w:rsid w:val="006E478C"/>
    <w:rsid w:val="006E51D6"/>
    <w:rsid w:val="006E5C2F"/>
    <w:rsid w:val="006E6258"/>
    <w:rsid w:val="006E6317"/>
    <w:rsid w:val="006E71A2"/>
    <w:rsid w:val="006E76BF"/>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2CAB"/>
    <w:rsid w:val="007031F3"/>
    <w:rsid w:val="007044A9"/>
    <w:rsid w:val="0070717D"/>
    <w:rsid w:val="007074C7"/>
    <w:rsid w:val="00707B4C"/>
    <w:rsid w:val="00707D0B"/>
    <w:rsid w:val="007105C9"/>
    <w:rsid w:val="0071285E"/>
    <w:rsid w:val="00712A83"/>
    <w:rsid w:val="007132A7"/>
    <w:rsid w:val="00713B0F"/>
    <w:rsid w:val="00713E04"/>
    <w:rsid w:val="007143A0"/>
    <w:rsid w:val="00714BC6"/>
    <w:rsid w:val="00714FE3"/>
    <w:rsid w:val="00715FAE"/>
    <w:rsid w:val="00717A72"/>
    <w:rsid w:val="00720C65"/>
    <w:rsid w:val="00722DAD"/>
    <w:rsid w:val="00723044"/>
    <w:rsid w:val="00723334"/>
    <w:rsid w:val="00724B08"/>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4798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53FF"/>
    <w:rsid w:val="007A7913"/>
    <w:rsid w:val="007B305C"/>
    <w:rsid w:val="007B336D"/>
    <w:rsid w:val="007B38F9"/>
    <w:rsid w:val="007B3D6A"/>
    <w:rsid w:val="007B4048"/>
    <w:rsid w:val="007B40D6"/>
    <w:rsid w:val="007B4597"/>
    <w:rsid w:val="007B6E10"/>
    <w:rsid w:val="007B7374"/>
    <w:rsid w:val="007B77CB"/>
    <w:rsid w:val="007B78E2"/>
    <w:rsid w:val="007C01A5"/>
    <w:rsid w:val="007C12DA"/>
    <w:rsid w:val="007C29DC"/>
    <w:rsid w:val="007C4F10"/>
    <w:rsid w:val="007C661D"/>
    <w:rsid w:val="007C6A7A"/>
    <w:rsid w:val="007D01EE"/>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53E0"/>
    <w:rsid w:val="007F5E20"/>
    <w:rsid w:val="00800BAE"/>
    <w:rsid w:val="00801A00"/>
    <w:rsid w:val="00805F26"/>
    <w:rsid w:val="008061C6"/>
    <w:rsid w:val="00807BBB"/>
    <w:rsid w:val="008105E5"/>
    <w:rsid w:val="00810EEA"/>
    <w:rsid w:val="0081352D"/>
    <w:rsid w:val="00814B7A"/>
    <w:rsid w:val="00820644"/>
    <w:rsid w:val="0082338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2A7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7951"/>
    <w:rsid w:val="008C1209"/>
    <w:rsid w:val="008C1341"/>
    <w:rsid w:val="008C3224"/>
    <w:rsid w:val="008C4A86"/>
    <w:rsid w:val="008C4D86"/>
    <w:rsid w:val="008C543C"/>
    <w:rsid w:val="008C5AD8"/>
    <w:rsid w:val="008C5D52"/>
    <w:rsid w:val="008C78D9"/>
    <w:rsid w:val="008D2213"/>
    <w:rsid w:val="008D3136"/>
    <w:rsid w:val="008D6373"/>
    <w:rsid w:val="008D680D"/>
    <w:rsid w:val="008D68C4"/>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51B0"/>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7B1"/>
    <w:rsid w:val="00982988"/>
    <w:rsid w:val="00982DE4"/>
    <w:rsid w:val="009830B7"/>
    <w:rsid w:val="00983337"/>
    <w:rsid w:val="009856F6"/>
    <w:rsid w:val="009864E4"/>
    <w:rsid w:val="009865F4"/>
    <w:rsid w:val="0098794C"/>
    <w:rsid w:val="00991929"/>
    <w:rsid w:val="00992F74"/>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07E6"/>
    <w:rsid w:val="009B31A3"/>
    <w:rsid w:val="009B33E9"/>
    <w:rsid w:val="009B3D83"/>
    <w:rsid w:val="009B41AB"/>
    <w:rsid w:val="009B4493"/>
    <w:rsid w:val="009B6F7A"/>
    <w:rsid w:val="009B7AD6"/>
    <w:rsid w:val="009C0094"/>
    <w:rsid w:val="009C0ED2"/>
    <w:rsid w:val="009C25F9"/>
    <w:rsid w:val="009C2B48"/>
    <w:rsid w:val="009C59ED"/>
    <w:rsid w:val="009C5F32"/>
    <w:rsid w:val="009C6747"/>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3B3"/>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4B1F"/>
    <w:rsid w:val="00A55102"/>
    <w:rsid w:val="00A5553E"/>
    <w:rsid w:val="00A637B5"/>
    <w:rsid w:val="00A63A14"/>
    <w:rsid w:val="00A63E47"/>
    <w:rsid w:val="00A63EAB"/>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A5FE6"/>
    <w:rsid w:val="00AB04DC"/>
    <w:rsid w:val="00AB0528"/>
    <w:rsid w:val="00AB08BA"/>
    <w:rsid w:val="00AB0E52"/>
    <w:rsid w:val="00AB248A"/>
    <w:rsid w:val="00AB271A"/>
    <w:rsid w:val="00AB2D12"/>
    <w:rsid w:val="00AB4556"/>
    <w:rsid w:val="00AB487D"/>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4F79"/>
    <w:rsid w:val="00AF5573"/>
    <w:rsid w:val="00AF5EDD"/>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E04"/>
    <w:rsid w:val="00B3099A"/>
    <w:rsid w:val="00B31DF0"/>
    <w:rsid w:val="00B320EF"/>
    <w:rsid w:val="00B32143"/>
    <w:rsid w:val="00B32975"/>
    <w:rsid w:val="00B32F06"/>
    <w:rsid w:val="00B33D30"/>
    <w:rsid w:val="00B34AC0"/>
    <w:rsid w:val="00B34C2C"/>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311C"/>
    <w:rsid w:val="00B63B79"/>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A89"/>
    <w:rsid w:val="00B83F0A"/>
    <w:rsid w:val="00B84B76"/>
    <w:rsid w:val="00B850A9"/>
    <w:rsid w:val="00B85445"/>
    <w:rsid w:val="00B86334"/>
    <w:rsid w:val="00B86BC0"/>
    <w:rsid w:val="00B873DC"/>
    <w:rsid w:val="00B902B5"/>
    <w:rsid w:val="00B9125D"/>
    <w:rsid w:val="00B941A9"/>
    <w:rsid w:val="00B950D5"/>
    <w:rsid w:val="00B96484"/>
    <w:rsid w:val="00B96668"/>
    <w:rsid w:val="00BA086B"/>
    <w:rsid w:val="00BA0D1E"/>
    <w:rsid w:val="00BA14E1"/>
    <w:rsid w:val="00BA2878"/>
    <w:rsid w:val="00BA3457"/>
    <w:rsid w:val="00BA5388"/>
    <w:rsid w:val="00BA5679"/>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15F0"/>
    <w:rsid w:val="00BC2B28"/>
    <w:rsid w:val="00BC332E"/>
    <w:rsid w:val="00BC433D"/>
    <w:rsid w:val="00BC4E8C"/>
    <w:rsid w:val="00BC6976"/>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692C"/>
    <w:rsid w:val="00C47BFF"/>
    <w:rsid w:val="00C502ED"/>
    <w:rsid w:val="00C50713"/>
    <w:rsid w:val="00C51060"/>
    <w:rsid w:val="00C526A7"/>
    <w:rsid w:val="00C52853"/>
    <w:rsid w:val="00C5361B"/>
    <w:rsid w:val="00C5392A"/>
    <w:rsid w:val="00C54142"/>
    <w:rsid w:val="00C55E2C"/>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9E4"/>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6A5"/>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BC3"/>
    <w:rsid w:val="00CD7F84"/>
    <w:rsid w:val="00CE193C"/>
    <w:rsid w:val="00CE1CD6"/>
    <w:rsid w:val="00CE358F"/>
    <w:rsid w:val="00CE3A0F"/>
    <w:rsid w:val="00CE45F0"/>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63B"/>
    <w:rsid w:val="00D26C04"/>
    <w:rsid w:val="00D31034"/>
    <w:rsid w:val="00D3128D"/>
    <w:rsid w:val="00D333F5"/>
    <w:rsid w:val="00D34DBA"/>
    <w:rsid w:val="00D35311"/>
    <w:rsid w:val="00D35BE0"/>
    <w:rsid w:val="00D40D83"/>
    <w:rsid w:val="00D42AF9"/>
    <w:rsid w:val="00D43C06"/>
    <w:rsid w:val="00D445C6"/>
    <w:rsid w:val="00D45030"/>
    <w:rsid w:val="00D45239"/>
    <w:rsid w:val="00D457A3"/>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479D"/>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2016"/>
    <w:rsid w:val="00DA30E1"/>
    <w:rsid w:val="00DA3945"/>
    <w:rsid w:val="00DA56F5"/>
    <w:rsid w:val="00DA58CE"/>
    <w:rsid w:val="00DA6323"/>
    <w:rsid w:val="00DA7736"/>
    <w:rsid w:val="00DA7E7D"/>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6C59"/>
    <w:rsid w:val="00DC7B5B"/>
    <w:rsid w:val="00DD125F"/>
    <w:rsid w:val="00DD169C"/>
    <w:rsid w:val="00DD2E03"/>
    <w:rsid w:val="00DD2F67"/>
    <w:rsid w:val="00DD3518"/>
    <w:rsid w:val="00DD3D38"/>
    <w:rsid w:val="00DD4080"/>
    <w:rsid w:val="00DD498A"/>
    <w:rsid w:val="00DD5E67"/>
    <w:rsid w:val="00DD7C66"/>
    <w:rsid w:val="00DD7D8C"/>
    <w:rsid w:val="00DE0EEF"/>
    <w:rsid w:val="00DE1038"/>
    <w:rsid w:val="00DE188B"/>
    <w:rsid w:val="00DE18BA"/>
    <w:rsid w:val="00DE2A7A"/>
    <w:rsid w:val="00DE3284"/>
    <w:rsid w:val="00DE38FF"/>
    <w:rsid w:val="00DE3945"/>
    <w:rsid w:val="00DE42EF"/>
    <w:rsid w:val="00DE5705"/>
    <w:rsid w:val="00DE67E9"/>
    <w:rsid w:val="00DE6EA1"/>
    <w:rsid w:val="00DE783C"/>
    <w:rsid w:val="00DF0832"/>
    <w:rsid w:val="00DF0A33"/>
    <w:rsid w:val="00DF1CB9"/>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36CB6"/>
    <w:rsid w:val="00E40303"/>
    <w:rsid w:val="00E41849"/>
    <w:rsid w:val="00E419D4"/>
    <w:rsid w:val="00E424AB"/>
    <w:rsid w:val="00E42B96"/>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2AB"/>
    <w:rsid w:val="00E83F7E"/>
    <w:rsid w:val="00E85C06"/>
    <w:rsid w:val="00E86121"/>
    <w:rsid w:val="00E8682B"/>
    <w:rsid w:val="00E86FEB"/>
    <w:rsid w:val="00E87622"/>
    <w:rsid w:val="00E91785"/>
    <w:rsid w:val="00E937DA"/>
    <w:rsid w:val="00E964C1"/>
    <w:rsid w:val="00E973DC"/>
    <w:rsid w:val="00EA18F2"/>
    <w:rsid w:val="00EA3676"/>
    <w:rsid w:val="00EA3E84"/>
    <w:rsid w:val="00EB13AD"/>
    <w:rsid w:val="00EB194D"/>
    <w:rsid w:val="00EB2A3F"/>
    <w:rsid w:val="00EB646D"/>
    <w:rsid w:val="00EB6CD0"/>
    <w:rsid w:val="00EB76CF"/>
    <w:rsid w:val="00EB77DC"/>
    <w:rsid w:val="00EB7857"/>
    <w:rsid w:val="00EC05DF"/>
    <w:rsid w:val="00EC1446"/>
    <w:rsid w:val="00EC276C"/>
    <w:rsid w:val="00EC339A"/>
    <w:rsid w:val="00EC4565"/>
    <w:rsid w:val="00EC479F"/>
    <w:rsid w:val="00EC4C9F"/>
    <w:rsid w:val="00EC4F20"/>
    <w:rsid w:val="00EC5A17"/>
    <w:rsid w:val="00EC7EEA"/>
    <w:rsid w:val="00ED17F1"/>
    <w:rsid w:val="00ED182B"/>
    <w:rsid w:val="00ED21CA"/>
    <w:rsid w:val="00ED239B"/>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0F08"/>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0CB5"/>
    <w:rsid w:val="00F11997"/>
    <w:rsid w:val="00F12B2B"/>
    <w:rsid w:val="00F13AEE"/>
    <w:rsid w:val="00F157C1"/>
    <w:rsid w:val="00F16C38"/>
    <w:rsid w:val="00F16E59"/>
    <w:rsid w:val="00F17A8A"/>
    <w:rsid w:val="00F20449"/>
    <w:rsid w:val="00F211F1"/>
    <w:rsid w:val="00F2409E"/>
    <w:rsid w:val="00F24293"/>
    <w:rsid w:val="00F25CB2"/>
    <w:rsid w:val="00F30411"/>
    <w:rsid w:val="00F338EB"/>
    <w:rsid w:val="00F3398F"/>
    <w:rsid w:val="00F34228"/>
    <w:rsid w:val="00F346D4"/>
    <w:rsid w:val="00F37921"/>
    <w:rsid w:val="00F37AB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67"/>
    <w:rsid w:val="00F61C82"/>
    <w:rsid w:val="00F63FA0"/>
    <w:rsid w:val="00F67240"/>
    <w:rsid w:val="00F70330"/>
    <w:rsid w:val="00F7112B"/>
    <w:rsid w:val="00F724F9"/>
    <w:rsid w:val="00F73692"/>
    <w:rsid w:val="00F73BF7"/>
    <w:rsid w:val="00F73D55"/>
    <w:rsid w:val="00F749F1"/>
    <w:rsid w:val="00F74E21"/>
    <w:rsid w:val="00F77076"/>
    <w:rsid w:val="00F774F9"/>
    <w:rsid w:val="00F77E32"/>
    <w:rsid w:val="00F8075E"/>
    <w:rsid w:val="00F80839"/>
    <w:rsid w:val="00F8110A"/>
    <w:rsid w:val="00F81BB5"/>
    <w:rsid w:val="00F82159"/>
    <w:rsid w:val="00F8391D"/>
    <w:rsid w:val="00F83AAB"/>
    <w:rsid w:val="00F847F9"/>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16E6"/>
    <w:rsid w:val="00FC24A5"/>
    <w:rsid w:val="00FC47CD"/>
    <w:rsid w:val="00FC5059"/>
    <w:rsid w:val="00FC615B"/>
    <w:rsid w:val="00FC72F3"/>
    <w:rsid w:val="00FC7484"/>
    <w:rsid w:val="00FC78BB"/>
    <w:rsid w:val="00FD08D2"/>
    <w:rsid w:val="00FD12FE"/>
    <w:rsid w:val="00FD19AF"/>
    <w:rsid w:val="00FD3FF9"/>
    <w:rsid w:val="00FD4485"/>
    <w:rsid w:val="00FD4715"/>
    <w:rsid w:val="00FD5162"/>
    <w:rsid w:val="00FD5A26"/>
    <w:rsid w:val="00FD7C26"/>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ronalison@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94A929-73A4-4E78-882C-F30DF907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16622</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2</cp:revision>
  <cp:lastPrinted>2019-09-11T09:24:00Z</cp:lastPrinted>
  <dcterms:created xsi:type="dcterms:W3CDTF">2022-09-14T12:52:00Z</dcterms:created>
  <dcterms:modified xsi:type="dcterms:W3CDTF">2022-09-14T12:52:00Z</dcterms:modified>
</cp:coreProperties>
</file>